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16D0" w14:textId="52082A7D" w:rsidR="00B520DE" w:rsidRDefault="00B520DE" w:rsidP="00C51C19">
      <w:pPr>
        <w:spacing w:after="0" w:line="240" w:lineRule="auto"/>
        <w:jc w:val="center"/>
        <w:rPr>
          <w:b/>
          <w:bCs/>
          <w:i/>
          <w:iCs/>
        </w:rPr>
      </w:pPr>
      <w:r w:rsidRPr="00CE50BF">
        <w:rPr>
          <w:noProof/>
          <w:color w:val="000000" w:themeColor="text1"/>
        </w:rPr>
        <w:drawing>
          <wp:inline distT="0" distB="0" distL="0" distR="0" wp14:anchorId="1B412EE1" wp14:editId="5DBA2B33">
            <wp:extent cx="1476375" cy="819083"/>
            <wp:effectExtent l="0" t="0" r="0" b="635"/>
            <wp:docPr id="2" name="Picture 2" descr="Logotyp, företagsnamn&#10;&#10;Beskrivning genereras automatis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35" cy="84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0E14D" w14:textId="09239873" w:rsidR="00D737F7" w:rsidRPr="00A87544" w:rsidRDefault="00D737F7" w:rsidP="00C51C19">
      <w:pPr>
        <w:spacing w:after="0" w:line="240" w:lineRule="auto"/>
        <w:jc w:val="center"/>
        <w:rPr>
          <w:b/>
          <w:bCs/>
          <w:i/>
          <w:iCs/>
          <w:lang w:val="sv-SE"/>
        </w:rPr>
      </w:pPr>
      <w:r w:rsidRPr="00A726AE">
        <w:rPr>
          <w:b/>
          <w:bCs/>
          <w:i/>
          <w:iCs/>
          <w:highlight w:val="yellow"/>
          <w:lang w:val="sv"/>
        </w:rPr>
        <w:t>Endast för europeiska och asiatiska medicinska medier och hälso- och sjukvårdsmedier</w:t>
      </w:r>
    </w:p>
    <w:p w14:paraId="7B4358C7" w14:textId="77777777" w:rsidR="00D737F7" w:rsidRPr="00A87544" w:rsidRDefault="00D737F7" w:rsidP="00C51C19">
      <w:pPr>
        <w:spacing w:after="0" w:line="240" w:lineRule="auto"/>
        <w:rPr>
          <w:b/>
          <w:bCs/>
          <w:lang w:val="sv-SE"/>
        </w:rPr>
      </w:pPr>
    </w:p>
    <w:p w14:paraId="0BAD69EA" w14:textId="54DDCA81" w:rsidR="005E4890" w:rsidRPr="00A87544" w:rsidRDefault="006C7451" w:rsidP="00C51C19">
      <w:pPr>
        <w:spacing w:after="0" w:line="240" w:lineRule="auto"/>
        <w:jc w:val="center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>R</w:t>
      </w:r>
      <w:proofErr w:type="spellStart"/>
      <w:r w:rsidR="0066517B" w:rsidRPr="00212199">
        <w:rPr>
          <w:b/>
          <w:bCs/>
          <w:sz w:val="24"/>
          <w:szCs w:val="24"/>
          <w:lang w:val="sv"/>
        </w:rPr>
        <w:t>esul</w:t>
      </w:r>
      <w:r>
        <w:rPr>
          <w:b/>
          <w:bCs/>
          <w:sz w:val="24"/>
          <w:szCs w:val="24"/>
          <w:lang w:val="sv"/>
        </w:rPr>
        <w:t>taten</w:t>
      </w:r>
      <w:proofErr w:type="spellEnd"/>
      <w:r w:rsidR="0066517B" w:rsidRPr="00212199">
        <w:rPr>
          <w:b/>
          <w:bCs/>
          <w:sz w:val="24"/>
          <w:szCs w:val="24"/>
          <w:lang w:val="sv"/>
        </w:rPr>
        <w:t xml:space="preserve"> </w:t>
      </w:r>
      <w:r>
        <w:rPr>
          <w:b/>
          <w:bCs/>
          <w:sz w:val="24"/>
          <w:szCs w:val="24"/>
          <w:lang w:val="sv"/>
        </w:rPr>
        <w:t xml:space="preserve">för </w:t>
      </w:r>
      <w:r w:rsidRPr="006C7451">
        <w:rPr>
          <w:b/>
          <w:bCs/>
          <w:sz w:val="24"/>
          <w:szCs w:val="24"/>
          <w:lang w:val="sv"/>
        </w:rPr>
        <w:t>CONTROL</w:t>
      </w:r>
      <w:r>
        <w:rPr>
          <w:b/>
          <w:bCs/>
          <w:sz w:val="24"/>
          <w:szCs w:val="24"/>
          <w:lang w:val="sv"/>
        </w:rPr>
        <w:t xml:space="preserve"> studien </w:t>
      </w:r>
      <w:r w:rsidR="0066517B" w:rsidRPr="00212199">
        <w:rPr>
          <w:b/>
          <w:bCs/>
          <w:sz w:val="24"/>
          <w:szCs w:val="24"/>
          <w:lang w:val="sv"/>
        </w:rPr>
        <w:t xml:space="preserve">visar förbättrad </w:t>
      </w:r>
      <w:proofErr w:type="spellStart"/>
      <w:r w:rsidR="0066517B" w:rsidRPr="00212199">
        <w:rPr>
          <w:b/>
          <w:bCs/>
          <w:sz w:val="24"/>
          <w:szCs w:val="24"/>
          <w:lang w:val="sv"/>
        </w:rPr>
        <w:t>tolerabilitet</w:t>
      </w:r>
      <w:proofErr w:type="spellEnd"/>
      <w:r w:rsidR="0066517B" w:rsidRPr="00212199">
        <w:rPr>
          <w:b/>
          <w:bCs/>
          <w:sz w:val="24"/>
          <w:szCs w:val="24"/>
          <w:lang w:val="sv"/>
        </w:rPr>
        <w:t xml:space="preserve"> </w:t>
      </w:r>
      <w:r>
        <w:rPr>
          <w:b/>
          <w:bCs/>
          <w:sz w:val="24"/>
          <w:szCs w:val="24"/>
          <w:lang w:val="sv"/>
        </w:rPr>
        <w:t>med</w:t>
      </w:r>
      <w:r w:rsidR="0066517B" w:rsidRPr="00212199">
        <w:rPr>
          <w:b/>
          <w:bCs/>
          <w:sz w:val="24"/>
          <w:szCs w:val="24"/>
          <w:lang w:val="sv"/>
        </w:rPr>
        <w:t xml:space="preserve"> NERLYNX</w:t>
      </w:r>
      <w:r w:rsidR="00772095">
        <w:rPr>
          <w:b/>
          <w:bCs/>
          <w:sz w:val="24"/>
          <w:szCs w:val="24"/>
          <w:lang w:val="sv"/>
        </w:rPr>
        <w:t>®</w:t>
      </w:r>
      <w:r w:rsidR="0066517B" w:rsidRPr="00212199">
        <w:rPr>
          <w:b/>
          <w:bCs/>
          <w:sz w:val="24"/>
          <w:szCs w:val="24"/>
          <w:lang w:val="sv"/>
        </w:rPr>
        <w:t xml:space="preserve"> (</w:t>
      </w:r>
      <w:proofErr w:type="spellStart"/>
      <w:r w:rsidR="0066517B" w:rsidRPr="00212199">
        <w:rPr>
          <w:b/>
          <w:bCs/>
          <w:sz w:val="24"/>
          <w:szCs w:val="24"/>
          <w:lang w:val="sv"/>
        </w:rPr>
        <w:t>neratinib</w:t>
      </w:r>
      <w:proofErr w:type="spellEnd"/>
      <w:r w:rsidR="0066517B" w:rsidRPr="00212199">
        <w:rPr>
          <w:b/>
          <w:bCs/>
          <w:sz w:val="24"/>
          <w:szCs w:val="24"/>
          <w:lang w:val="sv"/>
        </w:rPr>
        <w:t xml:space="preserve">) </w:t>
      </w:r>
      <w:r w:rsidR="00FE12AE">
        <w:rPr>
          <w:b/>
          <w:bCs/>
          <w:sz w:val="24"/>
          <w:szCs w:val="24"/>
          <w:lang w:val="sv"/>
        </w:rPr>
        <w:t>med</w:t>
      </w:r>
      <w:r w:rsidR="0066517B" w:rsidRPr="00212199">
        <w:rPr>
          <w:b/>
          <w:bCs/>
          <w:sz w:val="24"/>
          <w:szCs w:val="24"/>
          <w:lang w:val="sv"/>
        </w:rPr>
        <w:t xml:space="preserve"> </w:t>
      </w:r>
      <w:r>
        <w:rPr>
          <w:b/>
          <w:bCs/>
          <w:sz w:val="24"/>
          <w:szCs w:val="24"/>
          <w:lang w:val="sv"/>
        </w:rPr>
        <w:t>de</w:t>
      </w:r>
      <w:r w:rsidR="0066517B" w:rsidRPr="00212199">
        <w:rPr>
          <w:b/>
          <w:bCs/>
          <w:sz w:val="24"/>
          <w:szCs w:val="24"/>
          <w:lang w:val="sv"/>
        </w:rPr>
        <w:t xml:space="preserve"> undersökta </w:t>
      </w:r>
      <w:r>
        <w:rPr>
          <w:b/>
          <w:bCs/>
          <w:sz w:val="24"/>
          <w:szCs w:val="24"/>
          <w:lang w:val="sv"/>
        </w:rPr>
        <w:t>metoderna</w:t>
      </w:r>
      <w:r w:rsidR="0066517B" w:rsidRPr="00212199">
        <w:rPr>
          <w:b/>
          <w:bCs/>
          <w:sz w:val="24"/>
          <w:szCs w:val="24"/>
          <w:lang w:val="sv"/>
        </w:rPr>
        <w:t xml:space="preserve"> för diarréprofylax</w:t>
      </w:r>
      <w:r w:rsidR="0066517B" w:rsidRPr="00615A60">
        <w:rPr>
          <w:b/>
          <w:bCs/>
          <w:sz w:val="24"/>
          <w:szCs w:val="24"/>
          <w:lang w:val="sv"/>
        </w:rPr>
        <w:br/>
      </w:r>
    </w:p>
    <w:p w14:paraId="211E7E0E" w14:textId="29D69569" w:rsidR="00EB5CF2" w:rsidRPr="00A87544" w:rsidRDefault="00EB5CF2" w:rsidP="00C51C19">
      <w:pPr>
        <w:spacing w:after="0" w:line="240" w:lineRule="auto"/>
        <w:rPr>
          <w:lang w:val="sv-SE"/>
        </w:rPr>
      </w:pPr>
    </w:p>
    <w:p w14:paraId="27381602" w14:textId="62EBD96A" w:rsidR="007B0975" w:rsidRPr="00A87544" w:rsidRDefault="008E5E14" w:rsidP="00C51C19">
      <w:pPr>
        <w:spacing w:after="0" w:line="240" w:lineRule="auto"/>
        <w:rPr>
          <w:lang w:val="sv-SE"/>
        </w:rPr>
      </w:pPr>
      <w:r w:rsidRPr="00AA0F64">
        <w:rPr>
          <w:b/>
          <w:bCs/>
          <w:lang w:val="sv"/>
        </w:rPr>
        <w:t>Castres, Frankrike (10 december 2021)</w:t>
      </w:r>
      <w:r w:rsidR="00212199">
        <w:rPr>
          <w:lang w:val="sv"/>
        </w:rPr>
        <w:t xml:space="preserve"> –</w:t>
      </w:r>
      <w:r w:rsidR="00EB0F86">
        <w:rPr>
          <w:lang w:val="sv"/>
        </w:rPr>
        <w:t xml:space="preserve"> Idag presenterades </w:t>
      </w:r>
      <w:r w:rsidR="00AD0802">
        <w:rPr>
          <w:lang w:val="sv"/>
        </w:rPr>
        <w:t xml:space="preserve">de slutliga resultaten av </w:t>
      </w:r>
      <w:r w:rsidR="00660B97">
        <w:rPr>
          <w:lang w:val="sv"/>
        </w:rPr>
        <w:t>CONTROL-studien</w:t>
      </w:r>
      <w:r w:rsidR="000A454D">
        <w:rPr>
          <w:lang w:val="sv"/>
        </w:rPr>
        <w:t xml:space="preserve"> </w:t>
      </w:r>
      <w:r w:rsidR="00660B97" w:rsidRPr="000A454D">
        <w:rPr>
          <w:vertAlign w:val="superscript"/>
          <w:lang w:val="sv"/>
        </w:rPr>
        <w:t>1</w:t>
      </w:r>
      <w:r>
        <w:rPr>
          <w:lang w:val="sv"/>
        </w:rPr>
        <w:t xml:space="preserve"> </w:t>
      </w:r>
      <w:r w:rsidR="006D3D36">
        <w:rPr>
          <w:lang w:val="sv"/>
        </w:rPr>
        <w:t xml:space="preserve">vid 2021 San </w:t>
      </w:r>
      <w:r w:rsidR="001C04DD">
        <w:rPr>
          <w:lang w:val="sv"/>
        </w:rPr>
        <w:t>Antonio</w:t>
      </w:r>
      <w:r w:rsidR="006D3D36">
        <w:rPr>
          <w:lang w:val="sv"/>
        </w:rPr>
        <w:t xml:space="preserve"> Breast Cancer </w:t>
      </w:r>
      <w:r w:rsidR="001C04DD">
        <w:rPr>
          <w:lang w:val="sv"/>
        </w:rPr>
        <w:t>Symposium (SABCS)</w:t>
      </w:r>
      <w:r w:rsidR="00AA0F64">
        <w:rPr>
          <w:lang w:val="sv"/>
        </w:rPr>
        <w:t>. Resultaten</w:t>
      </w:r>
      <w:r w:rsidR="007B0975">
        <w:rPr>
          <w:lang w:val="sv"/>
        </w:rPr>
        <w:t xml:space="preserve"> tyder på att </w:t>
      </w:r>
      <w:r w:rsidR="00A87544">
        <w:rPr>
          <w:lang w:val="sv"/>
        </w:rPr>
        <w:t>erbjuda</w:t>
      </w:r>
      <w:r w:rsidR="007B0975">
        <w:rPr>
          <w:lang w:val="sv"/>
        </w:rPr>
        <w:t xml:space="preserve"> en profylaktisk medicinsk behandling mot diarré eller tillämpa </w:t>
      </w:r>
      <w:r w:rsidR="00164BC6">
        <w:rPr>
          <w:lang w:val="sv"/>
        </w:rPr>
        <w:t>ett dos</w:t>
      </w:r>
      <w:r w:rsidR="00A87544">
        <w:rPr>
          <w:lang w:val="sv"/>
        </w:rPr>
        <w:t>eskalerings</w:t>
      </w:r>
      <w:r w:rsidR="00164BC6">
        <w:rPr>
          <w:lang w:val="sv"/>
        </w:rPr>
        <w:t xml:space="preserve">schema </w:t>
      </w:r>
      <w:r w:rsidR="00FE12AE">
        <w:rPr>
          <w:lang w:val="sv"/>
        </w:rPr>
        <w:t>med</w:t>
      </w:r>
      <w:r w:rsidR="00D737F7">
        <w:rPr>
          <w:lang w:val="sv"/>
        </w:rPr>
        <w:t xml:space="preserve"> </w:t>
      </w:r>
      <w:proofErr w:type="spellStart"/>
      <w:r w:rsidR="003900CD">
        <w:rPr>
          <w:lang w:val="sv"/>
        </w:rPr>
        <w:t>neratinib</w:t>
      </w:r>
      <w:proofErr w:type="spellEnd"/>
      <w:r w:rsidR="00660B97">
        <w:rPr>
          <w:lang w:val="sv"/>
        </w:rPr>
        <w:t xml:space="preserve"> </w:t>
      </w:r>
      <w:r w:rsidR="00A87544">
        <w:rPr>
          <w:lang w:val="sv"/>
        </w:rPr>
        <w:t>kombinerat</w:t>
      </w:r>
      <w:r w:rsidR="00660B97">
        <w:rPr>
          <w:lang w:val="sv"/>
        </w:rPr>
        <w:t xml:space="preserve"> med</w:t>
      </w:r>
      <w:r w:rsidR="00D737F7">
        <w:rPr>
          <w:lang w:val="sv"/>
        </w:rPr>
        <w:t xml:space="preserve"> loperamid</w:t>
      </w:r>
      <w:r w:rsidR="00423769">
        <w:rPr>
          <w:lang w:val="sv"/>
        </w:rPr>
        <w:t xml:space="preserve"> (vid behov)</w:t>
      </w:r>
      <w:r w:rsidR="00D737F7">
        <w:rPr>
          <w:lang w:val="sv"/>
        </w:rPr>
        <w:t xml:space="preserve"> vid behandlings</w:t>
      </w:r>
      <w:r w:rsidR="00A87544">
        <w:rPr>
          <w:lang w:val="sv"/>
        </w:rPr>
        <w:t xml:space="preserve">start </w:t>
      </w:r>
      <w:r w:rsidR="00164BC6">
        <w:rPr>
          <w:lang w:val="sv"/>
        </w:rPr>
        <w:t>under två veckor</w:t>
      </w:r>
      <w:r w:rsidR="00D737F7">
        <w:rPr>
          <w:lang w:val="sv"/>
        </w:rPr>
        <w:t xml:space="preserve"> minskar</w:t>
      </w:r>
      <w:r w:rsidR="00164BC6">
        <w:rPr>
          <w:lang w:val="sv"/>
        </w:rPr>
        <w:t xml:space="preserve"> incidensen, svårighetsgraden och varaktigheten av neratinibassocierad diarré av grad 3</w:t>
      </w:r>
      <w:r w:rsidR="001C04DD">
        <w:rPr>
          <w:lang w:val="sv"/>
        </w:rPr>
        <w:t>.</w:t>
      </w:r>
    </w:p>
    <w:p w14:paraId="2B1F7726" w14:textId="69F3B76E" w:rsidR="007B0975" w:rsidRPr="00A87544" w:rsidRDefault="000D537F" w:rsidP="00C51C19">
      <w:pPr>
        <w:spacing w:after="0" w:line="240" w:lineRule="auto"/>
        <w:rPr>
          <w:lang w:val="sv-SE"/>
        </w:rPr>
      </w:pPr>
      <w:r>
        <w:rPr>
          <w:lang w:val="sv"/>
        </w:rPr>
        <w:t xml:space="preserve">Den förbättrade </w:t>
      </w:r>
      <w:proofErr w:type="spellStart"/>
      <w:r>
        <w:rPr>
          <w:lang w:val="sv"/>
        </w:rPr>
        <w:t>tolerabiliteten</w:t>
      </w:r>
      <w:proofErr w:type="spellEnd"/>
      <w:r>
        <w:rPr>
          <w:lang w:val="sv"/>
        </w:rPr>
        <w:t xml:space="preserve"> gör det möjligt för HER2+ </w:t>
      </w:r>
      <w:r w:rsidR="00AD0802">
        <w:rPr>
          <w:lang w:val="sv"/>
        </w:rPr>
        <w:t xml:space="preserve">patienter </w:t>
      </w:r>
      <w:r w:rsidR="00D737F7">
        <w:rPr>
          <w:lang w:val="sv"/>
        </w:rPr>
        <w:t xml:space="preserve">med tidig bröstcancer </w:t>
      </w:r>
      <w:r w:rsidR="004B7ECC">
        <w:rPr>
          <w:lang w:val="sv"/>
        </w:rPr>
        <w:t>(</w:t>
      </w:r>
      <w:proofErr w:type="spellStart"/>
      <w:r w:rsidR="004B7ECC">
        <w:rPr>
          <w:lang w:val="sv"/>
        </w:rPr>
        <w:t>eBC</w:t>
      </w:r>
      <w:proofErr w:type="spellEnd"/>
      <w:r w:rsidR="004B7ECC">
        <w:rPr>
          <w:lang w:val="sv"/>
        </w:rPr>
        <w:t>)</w:t>
      </w:r>
      <w:r w:rsidR="00AA0F64" w:rsidRPr="00CE50BF">
        <w:rPr>
          <w:lang w:val="sv"/>
        </w:rPr>
        <w:t xml:space="preserve"> som tidigare har behandlats med trastuzumabbaserad behandling</w:t>
      </w:r>
      <w:r w:rsidR="00AA0F64">
        <w:rPr>
          <w:lang w:val="sv"/>
        </w:rPr>
        <w:t xml:space="preserve"> inom mindre än 1 år </w:t>
      </w:r>
      <w:r w:rsidR="00AD0802">
        <w:rPr>
          <w:lang w:val="sv"/>
        </w:rPr>
        <w:t xml:space="preserve">att stanna kvar på </w:t>
      </w:r>
      <w:r w:rsidR="00AC1C82">
        <w:rPr>
          <w:lang w:val="sv"/>
        </w:rPr>
        <w:t>neratinib</w:t>
      </w:r>
      <w:r w:rsidR="00AD0802">
        <w:rPr>
          <w:lang w:val="sv"/>
        </w:rPr>
        <w:t xml:space="preserve"> längre</w:t>
      </w:r>
      <w:r w:rsidR="003A2B95">
        <w:rPr>
          <w:lang w:val="sv"/>
        </w:rPr>
        <w:t xml:space="preserve">, vilket ökar </w:t>
      </w:r>
      <w:r w:rsidR="00A87544">
        <w:rPr>
          <w:lang w:val="sv"/>
        </w:rPr>
        <w:t>möjligheten</w:t>
      </w:r>
      <w:r w:rsidR="003A2B95">
        <w:rPr>
          <w:lang w:val="sv"/>
        </w:rPr>
        <w:t xml:space="preserve"> att</w:t>
      </w:r>
      <w:r w:rsidR="00AD0802">
        <w:rPr>
          <w:lang w:val="sv"/>
        </w:rPr>
        <w:t xml:space="preserve"> få full nytta av behandlingen</w:t>
      </w:r>
      <w:r w:rsidR="00164BC6">
        <w:rPr>
          <w:lang w:val="sv"/>
        </w:rPr>
        <w:t>.</w:t>
      </w:r>
    </w:p>
    <w:p w14:paraId="46319430" w14:textId="77777777" w:rsidR="00414FBE" w:rsidRPr="00A87544" w:rsidRDefault="00414FBE" w:rsidP="00C51C19">
      <w:pPr>
        <w:spacing w:after="0" w:line="240" w:lineRule="auto"/>
        <w:rPr>
          <w:lang w:val="sv-SE"/>
        </w:rPr>
      </w:pPr>
    </w:p>
    <w:p w14:paraId="7D60C7E6" w14:textId="0D009BC4" w:rsidR="006D6A69" w:rsidRPr="00A87544" w:rsidRDefault="007B0975" w:rsidP="00C51C19">
      <w:pPr>
        <w:spacing w:after="0" w:line="240" w:lineRule="auto"/>
        <w:rPr>
          <w:lang w:val="sv-SE"/>
        </w:rPr>
      </w:pPr>
      <w:r>
        <w:rPr>
          <w:lang w:val="sv"/>
        </w:rPr>
        <w:t xml:space="preserve">CONTROL-studien </w:t>
      </w:r>
      <w:r w:rsidR="00A87544">
        <w:rPr>
          <w:lang w:val="sv"/>
        </w:rPr>
        <w:t>initierade</w:t>
      </w:r>
      <w:r w:rsidR="00FE12AE">
        <w:rPr>
          <w:lang w:val="sv"/>
        </w:rPr>
        <w:t>s</w:t>
      </w:r>
      <w:r w:rsidR="00A87544">
        <w:rPr>
          <w:lang w:val="sv"/>
        </w:rPr>
        <w:t xml:space="preserve"> med bakgrund av</w:t>
      </w:r>
      <w:r>
        <w:rPr>
          <w:lang w:val="sv"/>
        </w:rPr>
        <w:t xml:space="preserve"> resultaten av </w:t>
      </w:r>
      <w:r w:rsidR="00FE5729">
        <w:rPr>
          <w:lang w:val="sv"/>
        </w:rPr>
        <w:t>ExteNET</w:t>
      </w:r>
      <w:r w:rsidR="000A454D" w:rsidRPr="000A454D">
        <w:rPr>
          <w:vertAlign w:val="superscript"/>
          <w:lang w:val="sv"/>
        </w:rPr>
        <w:t>2</w:t>
      </w:r>
      <w:r w:rsidR="006929CD" w:rsidRPr="000A454D">
        <w:rPr>
          <w:vertAlign w:val="superscript"/>
          <w:lang w:val="sv"/>
        </w:rPr>
        <w:t xml:space="preserve"> </w:t>
      </w:r>
      <w:r>
        <w:rPr>
          <w:lang w:val="sv"/>
        </w:rPr>
        <w:t>där</w:t>
      </w:r>
      <w:r w:rsidR="006D6A69">
        <w:rPr>
          <w:lang w:val="sv"/>
        </w:rPr>
        <w:t xml:space="preserve"> ingen obligatorisk anti-diarrébehandling gavs och </w:t>
      </w:r>
      <w:r w:rsidR="008F23A0">
        <w:rPr>
          <w:lang w:val="sv"/>
        </w:rPr>
        <w:t xml:space="preserve">där </w:t>
      </w:r>
      <w:r w:rsidR="006D6A69">
        <w:rPr>
          <w:lang w:val="sv"/>
        </w:rPr>
        <w:t xml:space="preserve">grad ≥3 diarré observerades hos </w:t>
      </w:r>
      <w:r w:rsidR="00FA1075">
        <w:rPr>
          <w:lang w:val="sv"/>
        </w:rPr>
        <w:t>nästan 40</w:t>
      </w:r>
      <w:r w:rsidR="006D6A69">
        <w:rPr>
          <w:lang w:val="sv"/>
        </w:rPr>
        <w:t xml:space="preserve">% av patienterna och 17% av patienterna avbröt </w:t>
      </w:r>
      <w:r w:rsidR="008F23A0">
        <w:rPr>
          <w:lang w:val="sv"/>
        </w:rPr>
        <w:t xml:space="preserve">studien </w:t>
      </w:r>
      <w:r w:rsidR="00423769">
        <w:rPr>
          <w:lang w:val="sv"/>
        </w:rPr>
        <w:t xml:space="preserve">av </w:t>
      </w:r>
      <w:r>
        <w:rPr>
          <w:lang w:val="sv"/>
        </w:rPr>
        <w:t>denna specifika anledning</w:t>
      </w:r>
      <w:r w:rsidR="006D6A69">
        <w:rPr>
          <w:lang w:val="sv"/>
        </w:rPr>
        <w:t>.</w:t>
      </w:r>
    </w:p>
    <w:p w14:paraId="624064F7" w14:textId="77777777" w:rsidR="00F859DD" w:rsidRPr="00A87544" w:rsidRDefault="00F859DD" w:rsidP="00C51C19">
      <w:pPr>
        <w:spacing w:after="0" w:line="240" w:lineRule="auto"/>
        <w:rPr>
          <w:lang w:val="sv-SE"/>
        </w:rPr>
      </w:pPr>
    </w:p>
    <w:p w14:paraId="64040621" w14:textId="58185FA0" w:rsidR="00FE5729" w:rsidRPr="00A87544" w:rsidRDefault="00406270" w:rsidP="00C51C19">
      <w:pPr>
        <w:spacing w:after="0" w:line="240" w:lineRule="auto"/>
        <w:rPr>
          <w:lang w:val="sv-SE"/>
        </w:rPr>
      </w:pPr>
      <w:r>
        <w:rPr>
          <w:lang w:val="sv"/>
        </w:rPr>
        <w:t xml:space="preserve">CONTROL-studien </w:t>
      </w:r>
      <w:r w:rsidR="00EF2272">
        <w:rPr>
          <w:lang w:val="sv"/>
        </w:rPr>
        <w:t xml:space="preserve">(n= 563) </w:t>
      </w:r>
      <w:r>
        <w:rPr>
          <w:lang w:val="sv"/>
        </w:rPr>
        <w:t xml:space="preserve">utformades för att </w:t>
      </w:r>
      <w:r w:rsidRPr="00902A8B">
        <w:rPr>
          <w:lang w:val="sv"/>
        </w:rPr>
        <w:t xml:space="preserve">undersöka sex </w:t>
      </w:r>
      <w:r w:rsidR="00FE12AE">
        <w:rPr>
          <w:lang w:val="sv"/>
        </w:rPr>
        <w:t xml:space="preserve">olika </w:t>
      </w:r>
      <w:r w:rsidRPr="00902A8B">
        <w:rPr>
          <w:lang w:val="sv"/>
        </w:rPr>
        <w:t>profylaxalternativ</w:t>
      </w:r>
      <w:r w:rsidR="00EF2272">
        <w:rPr>
          <w:lang w:val="sv"/>
        </w:rPr>
        <w:t xml:space="preserve"> </w:t>
      </w:r>
      <w:r w:rsidR="005712C6">
        <w:rPr>
          <w:lang w:val="sv"/>
        </w:rPr>
        <w:t xml:space="preserve">för förebyggande av </w:t>
      </w:r>
      <w:r w:rsidR="007A42DB">
        <w:rPr>
          <w:lang w:val="sv"/>
        </w:rPr>
        <w:t>neratinibassocierad</w:t>
      </w:r>
      <w:r w:rsidR="005712C6">
        <w:rPr>
          <w:lang w:val="sv"/>
        </w:rPr>
        <w:t xml:space="preserve"> diarré. </w:t>
      </w:r>
      <w:r w:rsidR="00E26D7D">
        <w:rPr>
          <w:lang w:val="sv"/>
        </w:rPr>
        <w:t xml:space="preserve"> </w:t>
      </w:r>
      <w:r>
        <w:rPr>
          <w:lang w:val="sv"/>
        </w:rPr>
        <w:t>De slutliga resultaten som presenterades vid SABCS visade att</w:t>
      </w:r>
      <w:r w:rsidR="00E26D7D">
        <w:rPr>
          <w:lang w:val="sv"/>
        </w:rPr>
        <w:t xml:space="preserve"> </w:t>
      </w:r>
      <w:r w:rsidR="00FE12AE">
        <w:rPr>
          <w:lang w:val="sv"/>
        </w:rPr>
        <w:t xml:space="preserve">användning </w:t>
      </w:r>
      <w:r w:rsidR="006D6A69">
        <w:rPr>
          <w:lang w:val="sv"/>
        </w:rPr>
        <w:t xml:space="preserve">av </w:t>
      </w:r>
      <w:proofErr w:type="spellStart"/>
      <w:r w:rsidR="007A42DB">
        <w:rPr>
          <w:lang w:val="sv"/>
        </w:rPr>
        <w:t>neratinib</w:t>
      </w:r>
      <w:proofErr w:type="spellEnd"/>
      <w:r w:rsidR="007A42DB">
        <w:rPr>
          <w:lang w:val="sv"/>
        </w:rPr>
        <w:t xml:space="preserve"> </w:t>
      </w:r>
      <w:r w:rsidR="006D6A69">
        <w:rPr>
          <w:lang w:val="sv"/>
        </w:rPr>
        <w:t>dos</w:t>
      </w:r>
      <w:r w:rsidR="00FE12AE">
        <w:rPr>
          <w:lang w:val="sv"/>
        </w:rPr>
        <w:t>eskalering</w:t>
      </w:r>
      <w:r w:rsidR="006D6A69">
        <w:rPr>
          <w:lang w:val="sv"/>
        </w:rPr>
        <w:t xml:space="preserve"> </w:t>
      </w:r>
      <w:r w:rsidR="00CE4A47">
        <w:rPr>
          <w:lang w:val="sv"/>
        </w:rPr>
        <w:t>i</w:t>
      </w:r>
      <w:r w:rsidR="00F010ED">
        <w:rPr>
          <w:lang w:val="sv"/>
        </w:rPr>
        <w:t xml:space="preserve"> samband med </w:t>
      </w:r>
      <w:r w:rsidR="006D6A69">
        <w:rPr>
          <w:lang w:val="sv"/>
        </w:rPr>
        <w:t>loperamid (vid behov) under de första två veckorna av behandlingen (</w:t>
      </w:r>
      <w:r w:rsidR="003F3609">
        <w:rPr>
          <w:lang w:val="sv"/>
        </w:rPr>
        <w:t xml:space="preserve">kohort </w:t>
      </w:r>
      <w:r w:rsidR="006D6A69">
        <w:rPr>
          <w:lang w:val="sv"/>
        </w:rPr>
        <w:t xml:space="preserve">DE1) var </w:t>
      </w:r>
      <w:r w:rsidR="00A87544">
        <w:rPr>
          <w:lang w:val="sv"/>
        </w:rPr>
        <w:t>kopplad</w:t>
      </w:r>
      <w:r w:rsidR="006D6A69">
        <w:rPr>
          <w:lang w:val="sv"/>
        </w:rPr>
        <w:t xml:space="preserve"> med den lägsta frekvensen av grad 3 diarré under studien jämfört med alla andra </w:t>
      </w:r>
      <w:r w:rsidR="00A54D73">
        <w:rPr>
          <w:lang w:val="sv"/>
        </w:rPr>
        <w:t xml:space="preserve">undersökta </w:t>
      </w:r>
      <w:r w:rsidR="006D6A69">
        <w:rPr>
          <w:lang w:val="sv"/>
        </w:rPr>
        <w:t xml:space="preserve">anti-diarré </w:t>
      </w:r>
      <w:r w:rsidR="003F3609">
        <w:rPr>
          <w:lang w:val="sv"/>
        </w:rPr>
        <w:t>metoder</w:t>
      </w:r>
      <w:r w:rsidR="006D6A69">
        <w:rPr>
          <w:lang w:val="sv"/>
        </w:rPr>
        <w:t>.</w:t>
      </w:r>
      <w:r w:rsidR="00E26D7D">
        <w:rPr>
          <w:lang w:val="sv"/>
        </w:rPr>
        <w:t xml:space="preserve"> </w:t>
      </w:r>
      <w:r w:rsidR="00CC484C">
        <w:rPr>
          <w:lang w:val="sv"/>
        </w:rPr>
        <w:t xml:space="preserve"> Minst 75% av patienterna fick </w:t>
      </w:r>
      <w:r w:rsidR="007A42DB">
        <w:rPr>
          <w:lang w:val="sv"/>
        </w:rPr>
        <w:t xml:space="preserve">neratinib </w:t>
      </w:r>
      <w:r w:rsidR="00CC484C">
        <w:rPr>
          <w:lang w:val="sv"/>
        </w:rPr>
        <w:t>längre än 11, 06 månader i DE1-kohorten, jämfört med 7, 46 månader i DE2-kohorten</w:t>
      </w:r>
      <w:r w:rsidR="00E00BB7">
        <w:rPr>
          <w:lang w:val="sv"/>
        </w:rPr>
        <w:t xml:space="preserve">, som bestod av patienter som tog neratinib under en </w:t>
      </w:r>
      <w:r w:rsidR="00E00BB7" w:rsidRPr="00E00BB7">
        <w:rPr>
          <w:lang w:val="sv"/>
        </w:rPr>
        <w:t xml:space="preserve">4-veckors </w:t>
      </w:r>
      <w:r w:rsidR="006702B2">
        <w:rPr>
          <w:lang w:val="sv"/>
        </w:rPr>
        <w:t>dos</w:t>
      </w:r>
      <w:r w:rsidR="00E00BB7" w:rsidRPr="00E00BB7">
        <w:rPr>
          <w:lang w:val="sv"/>
        </w:rPr>
        <w:t>eskalering</w:t>
      </w:r>
      <w:r w:rsidR="00E00BB7">
        <w:rPr>
          <w:lang w:val="sv"/>
        </w:rPr>
        <w:t xml:space="preserve"> och </w:t>
      </w:r>
      <w:proofErr w:type="spellStart"/>
      <w:r w:rsidR="00E00BB7">
        <w:rPr>
          <w:lang w:val="sv"/>
        </w:rPr>
        <w:t>loperamid</w:t>
      </w:r>
      <w:proofErr w:type="spellEnd"/>
      <w:r w:rsidR="00E00BB7">
        <w:rPr>
          <w:lang w:val="sv"/>
        </w:rPr>
        <w:t xml:space="preserve"> (vid behov)</w:t>
      </w:r>
      <w:r w:rsidR="00F010ED">
        <w:rPr>
          <w:lang w:val="sv"/>
        </w:rPr>
        <w:t>.</w:t>
      </w:r>
      <w:r w:rsidR="00E26D7D">
        <w:rPr>
          <w:lang w:val="sv"/>
        </w:rPr>
        <w:t xml:space="preserve"> </w:t>
      </w:r>
      <w:r w:rsidR="00FE5729">
        <w:rPr>
          <w:lang w:val="sv"/>
        </w:rPr>
        <w:t xml:space="preserve"> DE1-kohorten </w:t>
      </w:r>
      <w:r w:rsidR="002B729A">
        <w:rPr>
          <w:lang w:val="sv"/>
        </w:rPr>
        <w:t xml:space="preserve">rapporterade </w:t>
      </w:r>
      <w:r w:rsidR="00E26D7D">
        <w:rPr>
          <w:lang w:val="sv"/>
        </w:rPr>
        <w:t xml:space="preserve">också </w:t>
      </w:r>
      <w:r w:rsidR="00FE5729">
        <w:rPr>
          <w:lang w:val="sv"/>
        </w:rPr>
        <w:t xml:space="preserve">den lägsta andelen diarrérelaterade </w:t>
      </w:r>
      <w:r w:rsidR="006702B2">
        <w:rPr>
          <w:lang w:val="sv"/>
        </w:rPr>
        <w:t>behandlings</w:t>
      </w:r>
      <w:r w:rsidR="00FE5729">
        <w:rPr>
          <w:lang w:val="sv"/>
        </w:rPr>
        <w:t xml:space="preserve">avbrott (3, 3%) och </w:t>
      </w:r>
      <w:r w:rsidR="00341DCD">
        <w:rPr>
          <w:lang w:val="sv"/>
        </w:rPr>
        <w:t>dosuppehåll</w:t>
      </w:r>
      <w:r w:rsidR="00A97D56">
        <w:rPr>
          <w:lang w:val="sv"/>
        </w:rPr>
        <w:t xml:space="preserve"> </w:t>
      </w:r>
      <w:r w:rsidR="00FE5729">
        <w:rPr>
          <w:lang w:val="sv"/>
        </w:rPr>
        <w:t>(11, 7%)</w:t>
      </w:r>
      <w:r w:rsidR="00B51284">
        <w:rPr>
          <w:lang w:val="sv"/>
        </w:rPr>
        <w:t>.</w:t>
      </w:r>
    </w:p>
    <w:p w14:paraId="76ECAA6C" w14:textId="77777777" w:rsidR="002F4186" w:rsidRPr="00A87544" w:rsidRDefault="002F4186" w:rsidP="00C51C19">
      <w:pPr>
        <w:spacing w:after="0" w:line="240" w:lineRule="auto"/>
        <w:rPr>
          <w:lang w:val="sv-SE"/>
        </w:rPr>
      </w:pPr>
    </w:p>
    <w:p w14:paraId="599F88C4" w14:textId="4B05CC65" w:rsidR="001826A5" w:rsidRPr="00A87544" w:rsidRDefault="002F4186" w:rsidP="00C51C19">
      <w:pPr>
        <w:spacing w:line="240" w:lineRule="auto"/>
        <w:rPr>
          <w:lang w:val="sv-SE"/>
        </w:rPr>
      </w:pPr>
      <w:r w:rsidRPr="00987FD2">
        <w:rPr>
          <w:lang w:val="sv"/>
        </w:rPr>
        <w:t xml:space="preserve">Deborah </w:t>
      </w:r>
      <w:proofErr w:type="spellStart"/>
      <w:r w:rsidRPr="00987FD2">
        <w:rPr>
          <w:lang w:val="sv"/>
        </w:rPr>
        <w:t>Szafir</w:t>
      </w:r>
      <w:proofErr w:type="spellEnd"/>
      <w:r w:rsidRPr="00987FD2">
        <w:rPr>
          <w:lang w:val="sv"/>
        </w:rPr>
        <w:t xml:space="preserve">, </w:t>
      </w:r>
      <w:proofErr w:type="spellStart"/>
      <w:r w:rsidRPr="00987FD2">
        <w:rPr>
          <w:lang w:val="sv"/>
        </w:rPr>
        <w:t>Executive</w:t>
      </w:r>
      <w:proofErr w:type="spellEnd"/>
      <w:r w:rsidRPr="00987FD2">
        <w:rPr>
          <w:lang w:val="sv"/>
        </w:rPr>
        <w:t xml:space="preserve"> Vice President, Medical &amp; Patient Consumer Department Director säger "</w:t>
      </w:r>
      <w:r w:rsidR="00C51C19" w:rsidRPr="00C51C19">
        <w:rPr>
          <w:lang w:val="sv"/>
        </w:rPr>
        <w:t>CONTROL-studien har visat att neratinibassocierad diarré kan hanteras med proaktiv profylax och dos</w:t>
      </w:r>
      <w:r w:rsidR="000A454D">
        <w:rPr>
          <w:lang w:val="sv"/>
        </w:rPr>
        <w:t>e</w:t>
      </w:r>
      <w:r w:rsidR="00A87544">
        <w:rPr>
          <w:lang w:val="sv"/>
        </w:rPr>
        <w:t>skalerings</w:t>
      </w:r>
      <w:r w:rsidR="00C51C19" w:rsidRPr="00C51C19">
        <w:rPr>
          <w:lang w:val="sv"/>
        </w:rPr>
        <w:t xml:space="preserve">strategier. Dessa resultat ger användbar information till </w:t>
      </w:r>
      <w:r w:rsidR="00280930">
        <w:rPr>
          <w:lang w:val="sv"/>
        </w:rPr>
        <w:t>sjukvården</w:t>
      </w:r>
      <w:r w:rsidR="00C51C19" w:rsidRPr="00C51C19">
        <w:rPr>
          <w:lang w:val="sv"/>
        </w:rPr>
        <w:t xml:space="preserve"> om </w:t>
      </w:r>
      <w:proofErr w:type="spellStart"/>
      <w:r w:rsidR="00C51C19" w:rsidRPr="00C51C19">
        <w:rPr>
          <w:lang w:val="sv"/>
        </w:rPr>
        <w:t>n</w:t>
      </w:r>
      <w:r w:rsidR="00A87544">
        <w:rPr>
          <w:lang w:val="sv"/>
        </w:rPr>
        <w:t>eratinibs</w:t>
      </w:r>
      <w:proofErr w:type="spellEnd"/>
      <w:r w:rsidR="00A87544">
        <w:rPr>
          <w:lang w:val="sv"/>
        </w:rPr>
        <w:t xml:space="preserve"> </w:t>
      </w:r>
      <w:r w:rsidR="00C51C19" w:rsidRPr="00C51C19">
        <w:rPr>
          <w:lang w:val="sv"/>
        </w:rPr>
        <w:t xml:space="preserve">säkerhetsprofil och dess </w:t>
      </w:r>
      <w:r w:rsidR="00BE200C">
        <w:rPr>
          <w:lang w:val="sv"/>
        </w:rPr>
        <w:t>hantering</w:t>
      </w:r>
      <w:r w:rsidR="00C51C19" w:rsidRPr="00C51C19">
        <w:rPr>
          <w:lang w:val="sv"/>
        </w:rPr>
        <w:t xml:space="preserve">. Detta är ett viktigt resultat eftersom vi vet att trots de framsteg som erbjuds av de många anti-HER2-medel som finns tillgängliga för tidig bröstcancerbehandling, kommer upp till 25% av HER2 + patienter fortfarande att </w:t>
      </w:r>
      <w:r w:rsidR="00BE200C">
        <w:rPr>
          <w:lang w:val="sv"/>
        </w:rPr>
        <w:t xml:space="preserve">få </w:t>
      </w:r>
      <w:r w:rsidR="00A87544">
        <w:rPr>
          <w:lang w:val="sv"/>
        </w:rPr>
        <w:t>återfall</w:t>
      </w:r>
      <w:r w:rsidR="00C51C19" w:rsidRPr="00C51C19">
        <w:rPr>
          <w:lang w:val="sv"/>
        </w:rPr>
        <w:t xml:space="preserve"> av sjukdomen vid 10 år."</w:t>
      </w:r>
    </w:p>
    <w:p w14:paraId="3BA27644" w14:textId="2C0CB987" w:rsidR="007B768A" w:rsidRPr="00A87544" w:rsidRDefault="007B768A" w:rsidP="00C51C19">
      <w:pPr>
        <w:spacing w:after="0" w:line="240" w:lineRule="auto"/>
        <w:rPr>
          <w:lang w:val="sv-SE"/>
        </w:rPr>
      </w:pPr>
      <w:r>
        <w:rPr>
          <w:lang w:val="sv"/>
        </w:rPr>
        <w:t>De slutliga resultaten från CONTROL-studien överlämnades till Europeiska läkemedelsmyndigheten för att anpassa produktinformationen till aktuell vetenskaplig kunskap.</w:t>
      </w:r>
    </w:p>
    <w:p w14:paraId="10ED727E" w14:textId="77777777" w:rsidR="007B768A" w:rsidRPr="00A87544" w:rsidRDefault="007B768A" w:rsidP="00C51C19">
      <w:pPr>
        <w:spacing w:after="0" w:line="240" w:lineRule="auto"/>
        <w:rPr>
          <w:lang w:val="sv-SE"/>
        </w:rPr>
      </w:pPr>
    </w:p>
    <w:p w14:paraId="0796B689" w14:textId="3BE56B4E" w:rsidR="0010103B" w:rsidRPr="00A87544" w:rsidRDefault="0010103B" w:rsidP="00C51C19">
      <w:pPr>
        <w:spacing w:after="0" w:line="240" w:lineRule="auto"/>
        <w:rPr>
          <w:lang w:val="sv-SE"/>
        </w:rPr>
      </w:pPr>
    </w:p>
    <w:p w14:paraId="6B525864" w14:textId="7956E34B" w:rsidR="0010103B" w:rsidRPr="00E75909" w:rsidRDefault="0010103B" w:rsidP="00C51C19">
      <w:pPr>
        <w:spacing w:after="0" w:line="240" w:lineRule="auto"/>
        <w:rPr>
          <w:b/>
          <w:bCs/>
          <w:lang w:val="es-ES"/>
        </w:rPr>
      </w:pPr>
      <w:r w:rsidRPr="00E75909">
        <w:rPr>
          <w:b/>
          <w:lang w:val="sv"/>
        </w:rPr>
        <w:t>REFERENSER</w:t>
      </w:r>
    </w:p>
    <w:p w14:paraId="5B9ED381" w14:textId="6860DE0C" w:rsidR="001826A5" w:rsidRPr="00A87544" w:rsidRDefault="0010103B" w:rsidP="00C51C19">
      <w:pPr>
        <w:spacing w:before="120" w:after="0" w:line="240" w:lineRule="auto"/>
        <w:rPr>
          <w:rFonts w:ascii="Calibri-Bold" w:hAnsi="Calibri-Bold" w:cs="Calibri-Bold"/>
          <w:sz w:val="17"/>
          <w:szCs w:val="17"/>
          <w:lang w:val="sv-SE"/>
        </w:rPr>
      </w:pPr>
      <w:r w:rsidRPr="004D43C3">
        <w:rPr>
          <w:sz w:val="20"/>
          <w:szCs w:val="20"/>
          <w:vertAlign w:val="superscript"/>
          <w:lang w:val="sv"/>
        </w:rPr>
        <w:t>1</w:t>
      </w:r>
      <w:r w:rsidR="00B221F4" w:rsidRPr="002F4186">
        <w:rPr>
          <w:sz w:val="17"/>
          <w:szCs w:val="17"/>
          <w:lang w:val="sv"/>
        </w:rPr>
        <w:t xml:space="preserve"> Abstrakt P5-18-02</w:t>
      </w:r>
      <w:r w:rsidR="002F4186">
        <w:rPr>
          <w:sz w:val="17"/>
          <w:szCs w:val="17"/>
          <w:lang w:val="sv"/>
        </w:rPr>
        <w:t xml:space="preserve"> - </w:t>
      </w:r>
      <w:r w:rsidRPr="002F4186">
        <w:rPr>
          <w:sz w:val="17"/>
          <w:szCs w:val="17"/>
          <w:lang w:val="sv"/>
        </w:rPr>
        <w:t xml:space="preserve">Chan A. </w:t>
      </w:r>
      <w:r>
        <w:rPr>
          <w:lang w:val="sv"/>
        </w:rPr>
        <w:t xml:space="preserve"> </w:t>
      </w:r>
      <w:r w:rsidRPr="00840BAD">
        <w:rPr>
          <w:sz w:val="17"/>
          <w:szCs w:val="17"/>
          <w:lang w:val="sv"/>
        </w:rPr>
        <w:t>Slutliga resultat från CONTROL-studien av diarré profylax eller neratinib dos eskalering på neratinib-associerade diarré och tolerabilitet hos patienter med HER2 + tidig bröstcancer - 2021 SABCS</w:t>
      </w:r>
      <w:r w:rsidR="002F4186">
        <w:rPr>
          <w:sz w:val="17"/>
          <w:szCs w:val="17"/>
          <w:lang w:val="sv"/>
        </w:rPr>
        <w:t xml:space="preserve">, </w:t>
      </w:r>
      <w:r w:rsidR="002F4186" w:rsidRPr="002F4186">
        <w:rPr>
          <w:sz w:val="17"/>
          <w:szCs w:val="17"/>
          <w:lang w:val="sv"/>
        </w:rPr>
        <w:t xml:space="preserve">Poster Session 5, fredag, dec. 10, 7:00-8:30 </w:t>
      </w:r>
      <w:proofErr w:type="spellStart"/>
      <w:r w:rsidR="002F4186" w:rsidRPr="002F4186">
        <w:rPr>
          <w:sz w:val="17"/>
          <w:szCs w:val="17"/>
          <w:lang w:val="sv"/>
        </w:rPr>
        <w:t>a.m</w:t>
      </w:r>
      <w:proofErr w:type="spellEnd"/>
      <w:r w:rsidR="002F4186" w:rsidRPr="002F4186">
        <w:rPr>
          <w:sz w:val="17"/>
          <w:szCs w:val="17"/>
          <w:lang w:val="sv"/>
        </w:rPr>
        <w:t xml:space="preserve"> CT.</w:t>
      </w:r>
    </w:p>
    <w:p w14:paraId="74111D42" w14:textId="42419883" w:rsidR="00912A17" w:rsidRPr="00A87544" w:rsidRDefault="00A54D73" w:rsidP="00C51C19">
      <w:pPr>
        <w:spacing w:before="120" w:after="0" w:line="240" w:lineRule="auto"/>
        <w:rPr>
          <w:rFonts w:ascii="Calibri-Bold" w:hAnsi="Calibri-Bold" w:cs="Calibri-Bold"/>
          <w:sz w:val="17"/>
          <w:szCs w:val="17"/>
          <w:lang w:val="sv-SE"/>
        </w:rPr>
      </w:pPr>
      <w:r w:rsidRPr="00A87544">
        <w:rPr>
          <w:sz w:val="17"/>
          <w:szCs w:val="17"/>
          <w:vertAlign w:val="superscript"/>
        </w:rPr>
        <w:t>2</w:t>
      </w:r>
      <w:r w:rsidR="00912A17" w:rsidRPr="00A87544">
        <w:rPr>
          <w:sz w:val="17"/>
          <w:szCs w:val="17"/>
        </w:rPr>
        <w:t xml:space="preserve"> Chan A, </w:t>
      </w:r>
      <w:proofErr w:type="spellStart"/>
      <w:r w:rsidR="00912A17" w:rsidRPr="00A87544">
        <w:rPr>
          <w:sz w:val="17"/>
          <w:szCs w:val="17"/>
        </w:rPr>
        <w:t>Delaloge</w:t>
      </w:r>
      <w:proofErr w:type="spellEnd"/>
      <w:r w:rsidR="00912A17" w:rsidRPr="00A87544">
        <w:rPr>
          <w:sz w:val="17"/>
          <w:szCs w:val="17"/>
        </w:rPr>
        <w:t xml:space="preserve"> S, Holmes FA, et al. </w:t>
      </w:r>
      <w:proofErr w:type="spellStart"/>
      <w:r w:rsidR="00912A17" w:rsidRPr="00840BAD">
        <w:rPr>
          <w:sz w:val="17"/>
          <w:szCs w:val="17"/>
          <w:lang w:val="sv"/>
        </w:rPr>
        <w:t>Neratinib</w:t>
      </w:r>
      <w:proofErr w:type="spellEnd"/>
      <w:r w:rsidR="00912A17" w:rsidRPr="00840BAD">
        <w:rPr>
          <w:sz w:val="17"/>
          <w:szCs w:val="17"/>
          <w:lang w:val="sv"/>
        </w:rPr>
        <w:t xml:space="preserve"> efter </w:t>
      </w:r>
      <w:proofErr w:type="spellStart"/>
      <w:r w:rsidR="00912A17" w:rsidRPr="00840BAD">
        <w:rPr>
          <w:sz w:val="17"/>
          <w:szCs w:val="17"/>
          <w:lang w:val="sv"/>
        </w:rPr>
        <w:t>trastuzumabbaserad</w:t>
      </w:r>
      <w:proofErr w:type="spellEnd"/>
      <w:r w:rsidR="00912A17" w:rsidRPr="00840BAD">
        <w:rPr>
          <w:sz w:val="17"/>
          <w:szCs w:val="17"/>
          <w:lang w:val="sv"/>
        </w:rPr>
        <w:t xml:space="preserve"> adjuvansbehandling hos patienter med HER2- positiv bröstcancer (ExteNET): en multicenter, randomiserad, dubbelblind, placebokontrollerad fas 3-studie. Lancet Oncol. 2016;17:367e377.</w:t>
      </w:r>
    </w:p>
    <w:p w14:paraId="6FB9722D" w14:textId="77777777" w:rsidR="0010103B" w:rsidRPr="00A87544" w:rsidRDefault="0010103B" w:rsidP="00C51C19">
      <w:pPr>
        <w:spacing w:after="0" w:line="240" w:lineRule="auto"/>
        <w:rPr>
          <w:rFonts w:ascii="Calibri-Bold" w:hAnsi="Calibri-Bold" w:cs="Calibri-Bold"/>
          <w:sz w:val="19"/>
          <w:szCs w:val="19"/>
          <w:lang w:val="sv-SE"/>
        </w:rPr>
      </w:pPr>
    </w:p>
    <w:p w14:paraId="2936CD72" w14:textId="5A5C3B98" w:rsidR="001826A5" w:rsidRPr="00A87544" w:rsidRDefault="001826A5" w:rsidP="00C51C19">
      <w:pPr>
        <w:spacing w:after="0" w:line="240" w:lineRule="auto"/>
        <w:rPr>
          <w:lang w:val="sv-SE"/>
        </w:rPr>
      </w:pPr>
    </w:p>
    <w:p w14:paraId="1F6729C3" w14:textId="77777777" w:rsidR="00C51C19" w:rsidRPr="00A87544" w:rsidRDefault="00C51C19" w:rsidP="00C51C19">
      <w:pPr>
        <w:spacing w:after="0" w:line="240" w:lineRule="auto"/>
        <w:rPr>
          <w:lang w:val="sv-SE"/>
        </w:rPr>
      </w:pPr>
    </w:p>
    <w:p w14:paraId="256F753C" w14:textId="144639C0" w:rsidR="001826A5" w:rsidRPr="00A87544" w:rsidRDefault="001826A5" w:rsidP="00C51C19">
      <w:pPr>
        <w:spacing w:after="0" w:line="240" w:lineRule="auto"/>
        <w:rPr>
          <w:b/>
          <w:bCs/>
          <w:caps/>
          <w:lang w:val="sv-SE"/>
        </w:rPr>
      </w:pPr>
      <w:r w:rsidRPr="00A726AE">
        <w:rPr>
          <w:b/>
          <w:bCs/>
          <w:caps/>
          <w:lang w:val="sv"/>
        </w:rPr>
        <w:t>Anteckningar till Redigeraren</w:t>
      </w:r>
    </w:p>
    <w:p w14:paraId="648CC484" w14:textId="77777777" w:rsidR="00A51B8B" w:rsidRPr="00A87544" w:rsidRDefault="00A51B8B" w:rsidP="00C51C19">
      <w:pPr>
        <w:spacing w:after="0" w:line="240" w:lineRule="auto"/>
        <w:rPr>
          <w:lang w:val="sv-SE"/>
        </w:rPr>
      </w:pPr>
    </w:p>
    <w:p w14:paraId="4E7F26D7" w14:textId="69D860D3" w:rsidR="001826A5" w:rsidRPr="00A87544" w:rsidRDefault="001826A5" w:rsidP="00C51C19">
      <w:pPr>
        <w:spacing w:after="0" w:line="240" w:lineRule="auto"/>
        <w:rPr>
          <w:lang w:val="sv-SE"/>
        </w:rPr>
      </w:pPr>
      <w:r w:rsidRPr="003E0E44">
        <w:rPr>
          <w:b/>
          <w:bCs/>
          <w:lang w:val="sv"/>
        </w:rPr>
        <w:t>Om CONTROL</w:t>
      </w:r>
      <w:r w:rsidR="007D531F" w:rsidRPr="00161B22">
        <w:rPr>
          <w:lang w:val="sv"/>
        </w:rPr>
        <w:t xml:space="preserve"> - </w:t>
      </w:r>
      <w:r w:rsidR="00B221F4" w:rsidRPr="00161B22">
        <w:rPr>
          <w:i/>
          <w:iCs/>
          <w:lang w:val="sv"/>
        </w:rPr>
        <w:t>NCT02400476</w:t>
      </w:r>
    </w:p>
    <w:p w14:paraId="2171DBB2" w14:textId="7F362BC2" w:rsidR="001D50D7" w:rsidRPr="00A87544" w:rsidRDefault="00154211" w:rsidP="00C51C19">
      <w:pPr>
        <w:spacing w:after="0" w:line="240" w:lineRule="auto"/>
        <w:rPr>
          <w:lang w:val="sv-SE"/>
        </w:rPr>
      </w:pPr>
      <w:r w:rsidRPr="004D43C3">
        <w:rPr>
          <w:lang w:val="sv"/>
        </w:rPr>
        <w:t xml:space="preserve">CONTROL-studien sponsras av </w:t>
      </w:r>
      <w:r w:rsidR="00527C53">
        <w:rPr>
          <w:lang w:val="sv"/>
        </w:rPr>
        <w:t>Puma</w:t>
      </w:r>
      <w:r w:rsidRPr="004D43C3">
        <w:rPr>
          <w:lang w:val="sv"/>
        </w:rPr>
        <w:t xml:space="preserve"> Biotechnology</w:t>
      </w:r>
      <w:r w:rsidR="00527C53">
        <w:rPr>
          <w:lang w:val="sv"/>
        </w:rPr>
        <w:t>, Inc.</w:t>
      </w:r>
      <w:r w:rsidRPr="004D43C3">
        <w:rPr>
          <w:lang w:val="sv"/>
        </w:rPr>
        <w:t xml:space="preserve">. Det är en internationell fas 2-studie med flera kohorter, öppen, utformad för att undersöka </w:t>
      </w:r>
      <w:r w:rsidR="000E5CC0">
        <w:rPr>
          <w:lang w:val="sv"/>
        </w:rPr>
        <w:t xml:space="preserve">6 förebyggande antidiarrheal profylaxalternativ  </w:t>
      </w:r>
      <w:r w:rsidR="0092487D">
        <w:rPr>
          <w:lang w:val="sv"/>
        </w:rPr>
        <w:t xml:space="preserve">med loperamid för förebyggande av neratinibassocierad diarré. Vuxna patienter (563) </w:t>
      </w:r>
      <w:r w:rsidR="003E0E44">
        <w:rPr>
          <w:lang w:val="sv"/>
        </w:rPr>
        <w:t xml:space="preserve">med stadium I- IIIc HER2+ bröstcancer som hade avslutat trastuzumabbaserad adjuvansbehandling inom 1 år före studiestart </w:t>
      </w:r>
      <w:r w:rsidR="00D15A27" w:rsidRPr="00D15A27">
        <w:rPr>
          <w:lang w:val="sv"/>
        </w:rPr>
        <w:t>fick oral neratinib (240 mg/dag i 1 år)</w:t>
      </w:r>
      <w:r w:rsidR="001D50D7">
        <w:rPr>
          <w:lang w:val="sv"/>
        </w:rPr>
        <w:t>.</w:t>
      </w:r>
    </w:p>
    <w:p w14:paraId="1B587D33" w14:textId="1A4E4FAA" w:rsidR="00D15A27" w:rsidRPr="00A87544" w:rsidRDefault="00D15A27" w:rsidP="00C51C19">
      <w:pPr>
        <w:spacing w:after="0" w:line="240" w:lineRule="auto"/>
        <w:rPr>
          <w:lang w:val="sv-SE"/>
        </w:rPr>
      </w:pPr>
      <w:r w:rsidRPr="00D15A27">
        <w:rPr>
          <w:lang w:val="sv"/>
        </w:rPr>
        <w:t xml:space="preserve">Patienterna inkluderades sekventiellt i </w:t>
      </w:r>
      <w:r w:rsidR="000E5CC0">
        <w:rPr>
          <w:lang w:val="sv"/>
        </w:rPr>
        <w:t xml:space="preserve">sex </w:t>
      </w:r>
      <w:r w:rsidRPr="00D15A27">
        <w:rPr>
          <w:lang w:val="sv"/>
        </w:rPr>
        <w:t>separata kohorter</w:t>
      </w:r>
      <w:r>
        <w:rPr>
          <w:lang w:val="sv"/>
        </w:rPr>
        <w:t>:</w:t>
      </w:r>
    </w:p>
    <w:p w14:paraId="459ECBA0" w14:textId="029EC4A7" w:rsidR="00D15A27" w:rsidRDefault="00D15A27" w:rsidP="00C51C19">
      <w:pPr>
        <w:pStyle w:val="ListParagraph"/>
        <w:numPr>
          <w:ilvl w:val="0"/>
          <w:numId w:val="16"/>
        </w:numPr>
        <w:spacing w:after="0" w:line="240" w:lineRule="auto"/>
      </w:pPr>
      <w:r>
        <w:rPr>
          <w:lang w:val="sv"/>
        </w:rPr>
        <w:t xml:space="preserve">Obligatorisk </w:t>
      </w:r>
      <w:proofErr w:type="spellStart"/>
      <w:r>
        <w:rPr>
          <w:lang w:val="sv"/>
        </w:rPr>
        <w:t>loperamide</w:t>
      </w:r>
      <w:proofErr w:type="spellEnd"/>
      <w:r>
        <w:rPr>
          <w:lang w:val="sv"/>
        </w:rPr>
        <w:t xml:space="preserve"> profylax.</w:t>
      </w:r>
    </w:p>
    <w:p w14:paraId="77F6962F" w14:textId="4E25A402" w:rsidR="00D15A27" w:rsidRDefault="00D15A27" w:rsidP="00C51C19">
      <w:pPr>
        <w:pStyle w:val="ListParagraph"/>
        <w:numPr>
          <w:ilvl w:val="0"/>
          <w:numId w:val="16"/>
        </w:numPr>
        <w:spacing w:after="0" w:line="240" w:lineRule="auto"/>
      </w:pPr>
      <w:r>
        <w:rPr>
          <w:lang w:val="sv"/>
        </w:rPr>
        <w:t>Budesonide + loperamide.</w:t>
      </w:r>
    </w:p>
    <w:p w14:paraId="49EC79D7" w14:textId="1A86DD90" w:rsidR="00D15A27" w:rsidRDefault="00D15A27" w:rsidP="00C51C19">
      <w:pPr>
        <w:pStyle w:val="ListParagraph"/>
        <w:numPr>
          <w:ilvl w:val="0"/>
          <w:numId w:val="16"/>
        </w:numPr>
        <w:spacing w:after="0" w:line="240" w:lineRule="auto"/>
      </w:pPr>
      <w:r>
        <w:rPr>
          <w:lang w:val="sv"/>
        </w:rPr>
        <w:t>Colestipol + loperamide.</w:t>
      </w:r>
    </w:p>
    <w:p w14:paraId="100B152F" w14:textId="0DDAA11B" w:rsidR="00D15A27" w:rsidRPr="00E75909" w:rsidRDefault="00D15A27" w:rsidP="00C51C19">
      <w:pPr>
        <w:pStyle w:val="ListParagraph"/>
        <w:numPr>
          <w:ilvl w:val="0"/>
          <w:numId w:val="16"/>
        </w:numPr>
        <w:spacing w:after="0" w:line="240" w:lineRule="auto"/>
        <w:rPr>
          <w:lang w:val="it-IT"/>
        </w:rPr>
      </w:pPr>
      <w:r w:rsidRPr="00A87544">
        <w:t>Colestipol + loperamide pro re nata (PRN).</w:t>
      </w:r>
    </w:p>
    <w:p w14:paraId="14386B04" w14:textId="1BC2634C" w:rsidR="00D15A27" w:rsidRPr="00A87544" w:rsidRDefault="001D50D7" w:rsidP="00C51C19">
      <w:pPr>
        <w:pStyle w:val="ListParagraph"/>
        <w:numPr>
          <w:ilvl w:val="0"/>
          <w:numId w:val="16"/>
        </w:numPr>
        <w:spacing w:after="0" w:line="240" w:lineRule="auto"/>
        <w:rPr>
          <w:lang w:val="sv-SE"/>
        </w:rPr>
      </w:pPr>
      <w:r>
        <w:rPr>
          <w:lang w:val="sv"/>
        </w:rPr>
        <w:t xml:space="preserve">Neratinib DE1 (2 veckors eskalering) + </w:t>
      </w:r>
      <w:proofErr w:type="spellStart"/>
      <w:r>
        <w:rPr>
          <w:lang w:val="sv"/>
        </w:rPr>
        <w:t>loperamid</w:t>
      </w:r>
      <w:proofErr w:type="spellEnd"/>
      <w:r>
        <w:rPr>
          <w:lang w:val="sv"/>
        </w:rPr>
        <w:t xml:space="preserve"> (</w:t>
      </w:r>
      <w:r w:rsidR="000E5CC0">
        <w:rPr>
          <w:lang w:val="sv"/>
        </w:rPr>
        <w:t>PRN</w:t>
      </w:r>
      <w:r>
        <w:rPr>
          <w:lang w:val="sv"/>
        </w:rPr>
        <w:t>, vid behov).</w:t>
      </w:r>
    </w:p>
    <w:p w14:paraId="5F5E6E66" w14:textId="4787CE66" w:rsidR="00D15A27" w:rsidRPr="00A87544" w:rsidRDefault="001D50D7" w:rsidP="00C51C19">
      <w:pPr>
        <w:pStyle w:val="ListParagraph"/>
        <w:numPr>
          <w:ilvl w:val="0"/>
          <w:numId w:val="16"/>
        </w:numPr>
        <w:spacing w:after="0" w:line="240" w:lineRule="auto"/>
        <w:rPr>
          <w:lang w:val="sv-SE"/>
        </w:rPr>
      </w:pPr>
      <w:proofErr w:type="spellStart"/>
      <w:r>
        <w:rPr>
          <w:lang w:val="sv"/>
        </w:rPr>
        <w:t>Neratinib</w:t>
      </w:r>
      <w:proofErr w:type="spellEnd"/>
      <w:r>
        <w:rPr>
          <w:lang w:val="sv"/>
        </w:rPr>
        <w:t xml:space="preserve"> DE2 (4 veckors eskalering) + </w:t>
      </w:r>
      <w:proofErr w:type="spellStart"/>
      <w:r>
        <w:rPr>
          <w:lang w:val="sv"/>
        </w:rPr>
        <w:t>loperamid</w:t>
      </w:r>
      <w:proofErr w:type="spellEnd"/>
      <w:r>
        <w:rPr>
          <w:lang w:val="sv"/>
        </w:rPr>
        <w:t xml:space="preserve"> (</w:t>
      </w:r>
      <w:r w:rsidR="000E5CC0">
        <w:rPr>
          <w:lang w:val="sv"/>
        </w:rPr>
        <w:t>PRN</w:t>
      </w:r>
      <w:r>
        <w:rPr>
          <w:lang w:val="sv"/>
        </w:rPr>
        <w:t>, vid behov).</w:t>
      </w:r>
    </w:p>
    <w:p w14:paraId="4AE7F256" w14:textId="77777777" w:rsidR="00605A12" w:rsidRPr="00A87544" w:rsidRDefault="00605A12" w:rsidP="00C51C19">
      <w:pPr>
        <w:spacing w:after="0" w:line="240" w:lineRule="auto"/>
        <w:rPr>
          <w:lang w:val="sv-SE"/>
        </w:rPr>
      </w:pPr>
    </w:p>
    <w:p w14:paraId="0FDAB1DE" w14:textId="36F42F18" w:rsidR="001826A5" w:rsidRPr="00A87544" w:rsidRDefault="001826A5" w:rsidP="00C51C19">
      <w:pPr>
        <w:spacing w:after="0" w:line="240" w:lineRule="auto"/>
        <w:rPr>
          <w:b/>
          <w:bCs/>
          <w:lang w:val="sv-SE"/>
        </w:rPr>
      </w:pPr>
      <w:r w:rsidRPr="00605A12">
        <w:rPr>
          <w:b/>
          <w:bCs/>
          <w:lang w:val="sv"/>
        </w:rPr>
        <w:t xml:space="preserve">Om </w:t>
      </w:r>
      <w:proofErr w:type="spellStart"/>
      <w:r w:rsidRPr="00605A12">
        <w:rPr>
          <w:b/>
          <w:bCs/>
          <w:lang w:val="sv"/>
        </w:rPr>
        <w:t>ExteNET</w:t>
      </w:r>
      <w:proofErr w:type="spellEnd"/>
      <w:r w:rsidR="007D531F">
        <w:rPr>
          <w:b/>
          <w:bCs/>
          <w:lang w:val="sv"/>
        </w:rPr>
        <w:t xml:space="preserve"> - </w:t>
      </w:r>
      <w:r w:rsidR="007D531F">
        <w:rPr>
          <w:rStyle w:val="Strong"/>
          <w:i/>
          <w:iCs/>
          <w:lang w:val="sv"/>
        </w:rPr>
        <w:t>NCT00878709</w:t>
      </w:r>
    </w:p>
    <w:p w14:paraId="6B27C011" w14:textId="7185AC60" w:rsidR="00012B0B" w:rsidRPr="00A87544" w:rsidRDefault="00D91B2F" w:rsidP="00C51C19">
      <w:pPr>
        <w:spacing w:after="0" w:line="240" w:lineRule="auto"/>
        <w:rPr>
          <w:lang w:val="sv-SE"/>
        </w:rPr>
      </w:pPr>
      <w:proofErr w:type="spellStart"/>
      <w:r w:rsidRPr="000E5CC0">
        <w:rPr>
          <w:lang w:val="sv"/>
        </w:rPr>
        <w:t>ExteNET</w:t>
      </w:r>
      <w:proofErr w:type="spellEnd"/>
      <w:r w:rsidRPr="000E5CC0">
        <w:rPr>
          <w:lang w:val="sv"/>
        </w:rPr>
        <w:t xml:space="preserve"> var en multicenter, randomiserad, dubbelblind, placebokontrollerad fas III- studie.  Patienter med HER2+ eBC fick oral neratinib 240 mg/dag eller placebo i 12 månader efter trastuzumabbaserad (neo)adjuvantbehandling</w:t>
      </w:r>
      <w:r w:rsidR="000E5CC0">
        <w:rPr>
          <w:lang w:val="sv"/>
        </w:rPr>
        <w:t xml:space="preserve">. </w:t>
      </w:r>
      <w:r w:rsidR="00012B0B" w:rsidRPr="00012B0B">
        <w:rPr>
          <w:lang w:val="sv"/>
        </w:rPr>
        <w:t xml:space="preserve">ExteNET-studien </w:t>
      </w:r>
      <w:r w:rsidR="00012B0B">
        <w:rPr>
          <w:lang w:val="sv"/>
        </w:rPr>
        <w:t xml:space="preserve">uppnådde sitt primära effektmått och </w:t>
      </w:r>
      <w:r w:rsidR="00012B0B" w:rsidRPr="00012B0B">
        <w:rPr>
          <w:lang w:val="sv"/>
        </w:rPr>
        <w:t xml:space="preserve">visade förbättrad invasiv sjukdomsfri överlevnad (iDFS) med </w:t>
      </w:r>
      <w:r w:rsidR="00012B0B">
        <w:rPr>
          <w:lang w:val="sv"/>
        </w:rPr>
        <w:t>NERLYNX</w:t>
      </w:r>
      <w:r w:rsidR="00012B0B" w:rsidRPr="00012B0B">
        <w:rPr>
          <w:lang w:val="sv"/>
        </w:rPr>
        <w:t xml:space="preserve">, </w:t>
      </w:r>
      <w:r w:rsidR="00012B0B">
        <w:rPr>
          <w:lang w:val="sv"/>
        </w:rPr>
        <w:t>jämfört med</w:t>
      </w:r>
      <w:r w:rsidR="00012B0B" w:rsidRPr="00012B0B">
        <w:rPr>
          <w:lang w:val="sv"/>
        </w:rPr>
        <w:t xml:space="preserve"> placebo hos patienter med HER2+</w:t>
      </w:r>
      <w:r w:rsidR="00012B0B">
        <w:rPr>
          <w:lang w:val="sv"/>
        </w:rPr>
        <w:t xml:space="preserve"> </w:t>
      </w:r>
      <w:proofErr w:type="spellStart"/>
      <w:r w:rsidR="00012B0B">
        <w:rPr>
          <w:lang w:val="sv"/>
        </w:rPr>
        <w:t>eBC</w:t>
      </w:r>
      <w:proofErr w:type="spellEnd"/>
      <w:r w:rsidR="00012B0B">
        <w:rPr>
          <w:lang w:val="sv"/>
        </w:rPr>
        <w:t>.</w:t>
      </w:r>
      <w:r>
        <w:rPr>
          <w:lang w:val="sv"/>
        </w:rPr>
        <w:t xml:space="preserve"> </w:t>
      </w:r>
      <w:r w:rsidR="00B379BD" w:rsidRPr="00CE50BF">
        <w:rPr>
          <w:lang w:val="sv"/>
        </w:rPr>
        <w:t xml:space="preserve"> Den större och mer varaktiga effekten observerades i undergruppen med HR+-sjukdomen som inledde behandling inom </w:t>
      </w:r>
      <w:r w:rsidR="00B379BD">
        <w:rPr>
          <w:lang w:val="sv"/>
        </w:rPr>
        <w:t xml:space="preserve">ett </w:t>
      </w:r>
      <w:r w:rsidR="00B379BD" w:rsidRPr="00CE50BF">
        <w:rPr>
          <w:lang w:val="sv"/>
        </w:rPr>
        <w:t>år efter avslutad trastuzumab, kallad HR+/≤ 1-årspopulation, vilket ledde till EMA-märkningspopulationen</w:t>
      </w:r>
      <w:r>
        <w:rPr>
          <w:lang w:val="sv"/>
        </w:rPr>
        <w:t>.</w:t>
      </w:r>
    </w:p>
    <w:p w14:paraId="5AD9373D" w14:textId="5A2908CF" w:rsidR="001826A5" w:rsidRPr="00A87544" w:rsidRDefault="001826A5" w:rsidP="00C51C19">
      <w:pPr>
        <w:spacing w:after="0" w:line="240" w:lineRule="auto"/>
        <w:rPr>
          <w:lang w:val="sv-SE"/>
        </w:rPr>
      </w:pPr>
    </w:p>
    <w:p w14:paraId="7343CB62" w14:textId="71E67AA4" w:rsidR="001826A5" w:rsidRPr="00A87544" w:rsidRDefault="001826A5" w:rsidP="00C51C19">
      <w:pPr>
        <w:spacing w:after="0" w:line="240" w:lineRule="auto"/>
        <w:rPr>
          <w:b/>
          <w:bCs/>
          <w:lang w:val="sv-SE"/>
        </w:rPr>
      </w:pPr>
      <w:r w:rsidRPr="001826A5">
        <w:rPr>
          <w:b/>
          <w:bCs/>
          <w:lang w:val="sv"/>
        </w:rPr>
        <w:t xml:space="preserve">Om </w:t>
      </w:r>
      <w:r w:rsidR="00212199">
        <w:rPr>
          <w:b/>
          <w:bCs/>
          <w:lang w:val="sv"/>
        </w:rPr>
        <w:t>NERLYNX</w:t>
      </w:r>
      <w:r w:rsidR="00F359FF">
        <w:rPr>
          <w:lang w:val="sv"/>
        </w:rPr>
        <w:t>®</w:t>
      </w:r>
    </w:p>
    <w:p w14:paraId="4F5B3A48" w14:textId="1A5960E2" w:rsidR="003F23BE" w:rsidRPr="00A87544" w:rsidRDefault="00212199" w:rsidP="00C51C19">
      <w:pPr>
        <w:spacing w:after="0" w:line="240" w:lineRule="auto"/>
        <w:rPr>
          <w:lang w:val="sv-SE"/>
        </w:rPr>
      </w:pPr>
      <w:r>
        <w:rPr>
          <w:lang w:val="sv"/>
        </w:rPr>
        <w:t>NERLYNX</w:t>
      </w:r>
      <w:r w:rsidR="00F359FF">
        <w:rPr>
          <w:lang w:val="sv"/>
        </w:rPr>
        <w:t>®</w:t>
      </w:r>
      <w:r w:rsidR="003F23BE" w:rsidRPr="00CE50BF">
        <w:rPr>
          <w:lang w:val="sv"/>
        </w:rPr>
        <w:t xml:space="preserve"> (neratinib) är en typ av riktad behandling för bröstcancer som kallas en irreversibel pan-HER-hämmare</w:t>
      </w:r>
      <w:r w:rsidR="003F23BE">
        <w:rPr>
          <w:lang w:val="sv"/>
        </w:rPr>
        <w:t xml:space="preserve"> (det hämmar </w:t>
      </w:r>
      <w:r w:rsidR="003F23BE" w:rsidRPr="003F3586">
        <w:rPr>
          <w:lang w:val="sv"/>
        </w:rPr>
        <w:t>HER1, HER2 &amp; HER4)</w:t>
      </w:r>
      <w:r w:rsidR="003F23BE" w:rsidRPr="00CE50BF">
        <w:rPr>
          <w:lang w:val="sv"/>
        </w:rPr>
        <w:t xml:space="preserve">. Det är en en gång daglig oral tablettbehandling godkänd </w:t>
      </w:r>
      <w:bookmarkStart w:id="0" w:name="_Hlk87704324"/>
      <w:r w:rsidR="00B379BD">
        <w:rPr>
          <w:lang w:val="sv"/>
        </w:rPr>
        <w:t xml:space="preserve">i Europa </w:t>
      </w:r>
      <w:r w:rsidR="003F23BE" w:rsidRPr="00CE50BF">
        <w:rPr>
          <w:lang w:val="sv"/>
        </w:rPr>
        <w:t xml:space="preserve">för att behandla vuxna med tidig human epidermal tillväxtfaktorreceptor 2 positiv (HER2 +) </w:t>
      </w:r>
      <w:r w:rsidR="003F23BE">
        <w:rPr>
          <w:lang w:val="sv"/>
        </w:rPr>
        <w:t>och hormonreceptorpositiv (</w:t>
      </w:r>
      <w:r w:rsidR="003F23BE" w:rsidRPr="0074017A">
        <w:rPr>
          <w:lang w:val="sv"/>
        </w:rPr>
        <w:t>HR+</w:t>
      </w:r>
      <w:r w:rsidR="003F23BE">
        <w:rPr>
          <w:lang w:val="sv"/>
        </w:rPr>
        <w:t xml:space="preserve">) </w:t>
      </w:r>
      <w:r w:rsidR="003F23BE" w:rsidRPr="00CE50BF">
        <w:rPr>
          <w:lang w:val="sv"/>
        </w:rPr>
        <w:t>bröstcancer som tidigare har behandlats med trastuzumabbaserad behandling</w:t>
      </w:r>
      <w:r w:rsidR="003F23BE">
        <w:rPr>
          <w:lang w:val="sv"/>
        </w:rPr>
        <w:t xml:space="preserve"> inom mindre än 1 år</w:t>
      </w:r>
      <w:r w:rsidR="003F23BE" w:rsidRPr="00CE50BF">
        <w:rPr>
          <w:lang w:val="sv"/>
        </w:rPr>
        <w:t>.</w:t>
      </w:r>
      <w:bookmarkEnd w:id="0"/>
    </w:p>
    <w:p w14:paraId="40011D2A" w14:textId="264C1565" w:rsidR="003F23BE" w:rsidRPr="00A87544" w:rsidRDefault="00161B22" w:rsidP="00C51C19">
      <w:pPr>
        <w:spacing w:after="0" w:line="240" w:lineRule="auto"/>
        <w:rPr>
          <w:rFonts w:cstheme="minorHAnsi"/>
          <w:lang w:val="sv-SE"/>
        </w:rPr>
      </w:pPr>
      <w:proofErr w:type="spellStart"/>
      <w:r w:rsidRPr="00CE50BF">
        <w:rPr>
          <w:lang w:val="sv"/>
        </w:rPr>
        <w:t>Neratinib</w:t>
      </w:r>
      <w:proofErr w:type="spellEnd"/>
      <w:r w:rsidR="003F23BE" w:rsidRPr="00B379BD">
        <w:rPr>
          <w:lang w:val="sv"/>
        </w:rPr>
        <w:t xml:space="preserve"> verkar blockera HER2-receptorerna på ytan av bröstcancerceller från att ta emot tillväxtsignaler och hjälper till att stoppa cancern från att spridas.</w:t>
      </w:r>
    </w:p>
    <w:p w14:paraId="356A84A0" w14:textId="3B864712" w:rsidR="003F23BE" w:rsidRPr="00A87544" w:rsidRDefault="00527C53" w:rsidP="00C51C19">
      <w:pPr>
        <w:spacing w:after="0" w:line="240" w:lineRule="auto"/>
        <w:rPr>
          <w:lang w:val="sv-SE"/>
        </w:rPr>
      </w:pPr>
      <w:r>
        <w:rPr>
          <w:lang w:val="sv"/>
        </w:rPr>
        <w:t>®</w:t>
      </w:r>
      <w:r w:rsidR="009D2843" w:rsidRPr="004D43C3">
        <w:rPr>
          <w:lang w:val="sv"/>
        </w:rPr>
        <w:t xml:space="preserve"> Puma licensierar de globala utvecklings- och kommersialiseringsrättigheterna till PB272 (neratinib, oral), PB272 (neratinib, intravenös) och PB357. Puma gav Pierre Fabre ensamrätt att utveckla och kommersialisera NERLYNX inom Europa, Turkiet, Mellanöstern, Afrika och </w:t>
      </w:r>
      <w:proofErr w:type="spellStart"/>
      <w:r w:rsidR="009D2843" w:rsidRPr="004D43C3">
        <w:rPr>
          <w:lang w:val="sv"/>
        </w:rPr>
        <w:t>Storkina</w:t>
      </w:r>
      <w:proofErr w:type="spellEnd"/>
      <w:r w:rsidR="009D2843" w:rsidRPr="004D43C3">
        <w:rPr>
          <w:lang w:val="sv"/>
        </w:rPr>
        <w:t>.</w:t>
      </w:r>
    </w:p>
    <w:p w14:paraId="77280AEF" w14:textId="33359795" w:rsidR="001826A5" w:rsidRPr="00A87544" w:rsidRDefault="001826A5" w:rsidP="00C51C19">
      <w:pPr>
        <w:spacing w:after="0" w:line="240" w:lineRule="auto"/>
        <w:rPr>
          <w:lang w:val="sv-SE"/>
        </w:rPr>
      </w:pPr>
    </w:p>
    <w:p w14:paraId="2A050FA3" w14:textId="1748B3DD" w:rsidR="00663F30" w:rsidRPr="00A87544" w:rsidRDefault="00663F30" w:rsidP="00C51C19">
      <w:pPr>
        <w:keepNext/>
        <w:spacing w:after="0" w:line="240" w:lineRule="auto"/>
        <w:rPr>
          <w:b/>
          <w:bCs/>
          <w:lang w:val="sv-SE"/>
        </w:rPr>
      </w:pPr>
      <w:r w:rsidRPr="00F90F18">
        <w:rPr>
          <w:b/>
          <w:bCs/>
          <w:lang w:val="sv"/>
        </w:rPr>
        <w:t>Om Pierre Fabre</w:t>
      </w:r>
    </w:p>
    <w:p w14:paraId="695114E9" w14:textId="77777777" w:rsidR="00A600D8" w:rsidRPr="00A87544" w:rsidRDefault="00A600D8" w:rsidP="00C51C19">
      <w:pPr>
        <w:spacing w:after="0" w:line="240" w:lineRule="auto"/>
        <w:rPr>
          <w:lang w:val="sv-SE"/>
        </w:rPr>
      </w:pPr>
      <w:r w:rsidRPr="00A600D8">
        <w:rPr>
          <w:lang w:val="sv"/>
        </w:rPr>
        <w:t xml:space="preserve">Pierre Fabre är det näst största dermo-kosmetikalaboratoriet i världen, den 2: a största privata franska läkemedelsgruppen och marknadsledande i Frankrike för produkter som säljs över disk på apotek. Portföljen sträcker sig över flera medicinska franchises och internationella varumärken, inklusive </w:t>
      </w:r>
      <w:hyperlink r:id="rId9" w:tgtFrame="_blank" w:history="1">
        <w:r w:rsidRPr="00A600D8">
          <w:rPr>
            <w:lang w:val="sv"/>
          </w:rPr>
          <w:t xml:space="preserve">Pierre Fabre </w:t>
        </w:r>
        <w:proofErr w:type="spellStart"/>
        <w:r w:rsidRPr="00A600D8">
          <w:rPr>
            <w:lang w:val="sv"/>
          </w:rPr>
          <w:t>Oncology</w:t>
        </w:r>
        <w:proofErr w:type="spellEnd"/>
      </w:hyperlink>
      <w:r w:rsidRPr="00A600D8">
        <w:rPr>
          <w:lang w:val="sv"/>
        </w:rPr>
        <w:t xml:space="preserve">, </w:t>
      </w:r>
      <w:hyperlink r:id="rId10" w:tgtFrame="_blank" w:history="1">
        <w:r w:rsidRPr="00A600D8">
          <w:rPr>
            <w:lang w:val="sv"/>
          </w:rPr>
          <w:t xml:space="preserve">Pierre Fabre </w:t>
        </w:r>
        <w:proofErr w:type="spellStart"/>
        <w:r w:rsidRPr="00A600D8">
          <w:rPr>
            <w:lang w:val="sv"/>
          </w:rPr>
          <w:t>Dermatology</w:t>
        </w:r>
        <w:proofErr w:type="spellEnd"/>
      </w:hyperlink>
      <w:r w:rsidRPr="00A600D8">
        <w:rPr>
          <w:lang w:val="sv"/>
        </w:rPr>
        <w:t>,</w:t>
      </w:r>
      <w:hyperlink r:id="rId11" w:tgtFrame="_blank" w:history="1">
        <w:r w:rsidRPr="00A600D8">
          <w:rPr>
            <w:lang w:val="sv"/>
          </w:rPr>
          <w:t xml:space="preserve"> Eau </w:t>
        </w:r>
        <w:proofErr w:type="spellStart"/>
        <w:r w:rsidRPr="00A600D8">
          <w:rPr>
            <w:lang w:val="sv"/>
          </w:rPr>
          <w:t>Thermale</w:t>
        </w:r>
        <w:proofErr w:type="spellEnd"/>
        <w:r w:rsidRPr="00A600D8">
          <w:rPr>
            <w:lang w:val="sv"/>
          </w:rPr>
          <w:t xml:space="preserve"> </w:t>
        </w:r>
        <w:proofErr w:type="spellStart"/>
        <w:r w:rsidRPr="00A600D8">
          <w:rPr>
            <w:lang w:val="sv"/>
          </w:rPr>
          <w:t>Avène</w:t>
        </w:r>
        <w:proofErr w:type="spellEnd"/>
      </w:hyperlink>
      <w:r w:rsidRPr="00A600D8">
        <w:rPr>
          <w:lang w:val="sv"/>
        </w:rPr>
        <w:t xml:space="preserve">, </w:t>
      </w:r>
      <w:proofErr w:type="spellStart"/>
      <w:r w:rsidRPr="00A600D8">
        <w:rPr>
          <w:lang w:val="sv"/>
        </w:rPr>
        <w:t>Klorane</w:t>
      </w:r>
      <w:proofErr w:type="spellEnd"/>
      <w:r w:rsidRPr="00A600D8">
        <w:rPr>
          <w:lang w:val="sv"/>
        </w:rPr>
        <w:t xml:space="preserve">, </w:t>
      </w:r>
      <w:proofErr w:type="spellStart"/>
      <w:r w:rsidRPr="00A600D8">
        <w:rPr>
          <w:lang w:val="sv"/>
        </w:rPr>
        <w:t>Ducray</w:t>
      </w:r>
      <w:proofErr w:type="spellEnd"/>
      <w:r w:rsidRPr="00A600D8">
        <w:rPr>
          <w:lang w:val="sv"/>
        </w:rPr>
        <w:t xml:space="preserve">, </w:t>
      </w:r>
      <w:hyperlink r:id="rId12" w:tgtFrame="_blank" w:history="1"/>
      <w:hyperlink r:id="rId13" w:tgtFrame="_blank" w:history="1"/>
      <w:hyperlink r:id="rId14" w:tgtFrame="_blank" w:history="1">
        <w:r w:rsidRPr="00A600D8">
          <w:rPr>
            <w:lang w:val="sv"/>
          </w:rPr>
          <w:t xml:space="preserve">René </w:t>
        </w:r>
        <w:proofErr w:type="spellStart"/>
        <w:r w:rsidRPr="00A600D8">
          <w:rPr>
            <w:lang w:val="sv"/>
          </w:rPr>
          <w:t>Furterer</w:t>
        </w:r>
        <w:proofErr w:type="spellEnd"/>
      </w:hyperlink>
      <w:r w:rsidRPr="00A600D8">
        <w:rPr>
          <w:lang w:val="sv"/>
        </w:rPr>
        <w:t xml:space="preserve">, </w:t>
      </w:r>
      <w:hyperlink r:id="rId15" w:tgtFrame="_blank" w:history="1">
        <w:r w:rsidRPr="00A600D8">
          <w:rPr>
            <w:lang w:val="sv"/>
          </w:rPr>
          <w:t>A-</w:t>
        </w:r>
        <w:proofErr w:type="spellStart"/>
        <w:r w:rsidRPr="00A600D8">
          <w:rPr>
            <w:lang w:val="sv"/>
          </w:rPr>
          <w:t>Derma</w:t>
        </w:r>
        <w:proofErr w:type="spellEnd"/>
      </w:hyperlink>
      <w:r w:rsidRPr="00A600D8">
        <w:rPr>
          <w:lang w:val="sv"/>
        </w:rPr>
        <w:t>,</w:t>
      </w:r>
      <w:hyperlink r:id="rId16" w:tgtFrame="_blank" w:history="1">
        <w:r w:rsidRPr="00A600D8">
          <w:rPr>
            <w:lang w:val="sv"/>
          </w:rPr>
          <w:t xml:space="preserve"> </w:t>
        </w:r>
        <w:proofErr w:type="spellStart"/>
        <w:r w:rsidRPr="00A600D8">
          <w:rPr>
            <w:lang w:val="sv"/>
          </w:rPr>
          <w:t>Naturactive</w:t>
        </w:r>
        <w:proofErr w:type="spellEnd"/>
      </w:hyperlink>
      <w:r w:rsidRPr="00A600D8">
        <w:rPr>
          <w:lang w:val="sv"/>
        </w:rPr>
        <w:t xml:space="preserve"> och </w:t>
      </w:r>
      <w:hyperlink r:id="rId17" w:tgtFrame="_blank" w:history="1">
        <w:r w:rsidRPr="00A600D8">
          <w:rPr>
            <w:lang w:val="sv"/>
          </w:rPr>
          <w:t>Pierre Fabre Oral Care</w:t>
        </w:r>
      </w:hyperlink>
      <w:r w:rsidRPr="00A600D8">
        <w:rPr>
          <w:lang w:val="sv"/>
        </w:rPr>
        <w:t xml:space="preserve">. </w:t>
      </w:r>
    </w:p>
    <w:p w14:paraId="2A13DEB4" w14:textId="77777777" w:rsidR="00A600D8" w:rsidRPr="00A87544" w:rsidRDefault="00A600D8" w:rsidP="00C51C19">
      <w:pPr>
        <w:spacing w:after="0" w:line="240" w:lineRule="auto"/>
        <w:rPr>
          <w:lang w:val="sv-SE"/>
        </w:rPr>
      </w:pPr>
      <w:r w:rsidRPr="00A600D8">
        <w:rPr>
          <w:lang w:val="sv"/>
        </w:rPr>
        <w:t>Under 2020 genererade Pierre Fabre 2,3 miljarder euro i intäkter, varav 65 % kom från internationell försäljning.</w:t>
      </w:r>
    </w:p>
    <w:p w14:paraId="669C1F69" w14:textId="0579BB52" w:rsidR="00A600D8" w:rsidRPr="00A87544" w:rsidRDefault="00A600D8" w:rsidP="00C51C19">
      <w:pPr>
        <w:spacing w:after="0" w:line="240" w:lineRule="auto"/>
        <w:rPr>
          <w:lang w:val="sv-SE"/>
        </w:rPr>
      </w:pPr>
      <w:r w:rsidRPr="00A600D8">
        <w:rPr>
          <w:lang w:val="sv"/>
        </w:rPr>
        <w:t>Koncernen är etablerad i sydvästra Frankrike sedan starten och tillverkar över 95% av sina produkter i Frankrike och sysselsätter cirka 10 000 personer över hela världen. Dess produkter distribueras i cirka 130 länder.</w:t>
      </w:r>
    </w:p>
    <w:p w14:paraId="0E6DE726" w14:textId="77777777" w:rsidR="00A600D8" w:rsidRPr="00A87544" w:rsidRDefault="00A600D8" w:rsidP="00C51C19">
      <w:pPr>
        <w:spacing w:after="0" w:line="240" w:lineRule="auto"/>
        <w:rPr>
          <w:lang w:val="sv-SE"/>
        </w:rPr>
      </w:pPr>
      <w:r w:rsidRPr="00A600D8">
        <w:rPr>
          <w:lang w:val="sv"/>
        </w:rPr>
        <w:t xml:space="preserve">Pierre Fabre ägs till 86 %av </w:t>
      </w:r>
      <w:hyperlink r:id="rId18" w:tgtFrame="_blank" w:history="1">
        <w:r w:rsidRPr="00A600D8">
          <w:rPr>
            <w:lang w:val="sv"/>
          </w:rPr>
          <w:t>Pierre Fabre Foundation</w:t>
        </w:r>
      </w:hyperlink>
      <w:r w:rsidRPr="00A600D8">
        <w:rPr>
          <w:lang w:val="sv"/>
        </w:rPr>
        <w:t>, en statligt erkänd stiftelse av allmänt intresse, och i andra hand av sina egna anställda genom en internationell aktieägarplan för anställda.</w:t>
      </w:r>
    </w:p>
    <w:p w14:paraId="294954C7" w14:textId="77777777" w:rsidR="00A600D8" w:rsidRPr="00A87544" w:rsidRDefault="00A600D8" w:rsidP="00C51C19">
      <w:pPr>
        <w:spacing w:after="0" w:line="240" w:lineRule="auto"/>
        <w:rPr>
          <w:lang w:val="sv-SE"/>
        </w:rPr>
      </w:pPr>
      <w:r w:rsidRPr="00A600D8">
        <w:rPr>
          <w:lang w:val="sv"/>
        </w:rPr>
        <w:lastRenderedPageBreak/>
        <w:t xml:space="preserve">Under 2020 utvärderade </w:t>
      </w:r>
      <w:proofErr w:type="spellStart"/>
      <w:r w:rsidRPr="00A600D8">
        <w:rPr>
          <w:lang w:val="sv"/>
        </w:rPr>
        <w:t>Ecocert</w:t>
      </w:r>
      <w:proofErr w:type="spellEnd"/>
      <w:r w:rsidRPr="00A600D8">
        <w:rPr>
          <w:lang w:val="sv"/>
        </w:rPr>
        <w:t xml:space="preserve"> Environment koncernens strategi för företagens sociala och miljömässiga ansvar i enlighet med ISO 26000-standarden för hållbar utveckling för andra året i rad och bekräftade sin "</w:t>
      </w:r>
      <w:proofErr w:type="spellStart"/>
      <w:r w:rsidRPr="00A600D8">
        <w:rPr>
          <w:lang w:val="sv"/>
        </w:rPr>
        <w:t>Excellence</w:t>
      </w:r>
      <w:proofErr w:type="spellEnd"/>
      <w:r w:rsidRPr="00A600D8">
        <w:rPr>
          <w:lang w:val="sv"/>
        </w:rPr>
        <w:t>"-nivå.</w:t>
      </w:r>
    </w:p>
    <w:p w14:paraId="7D462411" w14:textId="37DA640E" w:rsidR="00A600D8" w:rsidRPr="00A87544" w:rsidRDefault="00A600D8" w:rsidP="00C51C19">
      <w:pPr>
        <w:spacing w:after="0" w:line="240" w:lineRule="auto"/>
        <w:rPr>
          <w:lang w:val="sv-SE"/>
        </w:rPr>
      </w:pPr>
      <w:r w:rsidRPr="00A600D8">
        <w:rPr>
          <w:lang w:val="sv"/>
        </w:rPr>
        <w:t xml:space="preserve">För ytterligare information, besök Pierre Fabres webbplats på </w:t>
      </w:r>
      <w:hyperlink r:id="rId19" w:tgtFrame="_blank" w:history="1">
        <w:r w:rsidRPr="00A600D8">
          <w:rPr>
            <w:lang w:val="sv"/>
          </w:rPr>
          <w:t>www.pierre-fabre.com</w:t>
        </w:r>
      </w:hyperlink>
      <w:r w:rsidRPr="00A600D8">
        <w:rPr>
          <w:lang w:val="sv"/>
        </w:rPr>
        <w:t>,</w:t>
      </w:r>
      <w:hyperlink r:id="rId20" w:tgtFrame="_blank" w:tooltip="Twitter Pierre Fabre" w:history="1">
        <w:r w:rsidRPr="00A600D8">
          <w:rPr>
            <w:lang w:val="sv"/>
          </w:rPr>
          <w:t xml:space="preserve"> @PierreFabre</w:t>
        </w:r>
      </w:hyperlink>
    </w:p>
    <w:p w14:paraId="61D8164B" w14:textId="77777777" w:rsidR="00D15A27" w:rsidRPr="00A87544" w:rsidRDefault="00D15A27" w:rsidP="00C51C19">
      <w:pPr>
        <w:spacing w:after="0" w:line="240" w:lineRule="auto"/>
        <w:rPr>
          <w:lang w:val="sv-SE"/>
        </w:rPr>
      </w:pPr>
    </w:p>
    <w:p w14:paraId="0F346F9B" w14:textId="30B900B5" w:rsidR="00B520DE" w:rsidRPr="00663F30" w:rsidRDefault="00D15A27" w:rsidP="00C51C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sz w:val="20"/>
          <w:szCs w:val="20"/>
          <w:lang w:val="fr-FR"/>
        </w:rPr>
      </w:pPr>
      <w:r w:rsidRPr="00663F30">
        <w:rPr>
          <w:b/>
          <w:color w:val="000000"/>
          <w:sz w:val="20"/>
          <w:szCs w:val="20"/>
          <w:bdr w:val="nil"/>
          <w:lang w:val="sv"/>
        </w:rPr>
        <w:t>Kontakta</w:t>
      </w:r>
      <w:r w:rsidR="00B520DE" w:rsidRPr="00663F30">
        <w:rPr>
          <w:b/>
          <w:color w:val="000000" w:themeColor="text1"/>
          <w:sz w:val="20"/>
          <w:szCs w:val="20"/>
          <w:lang w:val="sv"/>
        </w:rPr>
        <w:t xml:space="preserve"> Pierre Fabre</w:t>
      </w:r>
    </w:p>
    <w:p w14:paraId="69AA4F18" w14:textId="77777777" w:rsidR="00B520DE" w:rsidRPr="002E6158" w:rsidRDefault="00B520DE" w:rsidP="00C51C19">
      <w:pPr>
        <w:spacing w:after="0" w:line="240" w:lineRule="auto"/>
        <w:outlineLvl w:val="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E6158">
        <w:rPr>
          <w:color w:val="000000" w:themeColor="text1"/>
          <w:sz w:val="20"/>
          <w:szCs w:val="20"/>
          <w:lang w:val="sv"/>
        </w:rPr>
        <w:t xml:space="preserve">Anne </w:t>
      </w:r>
      <w:proofErr w:type="spellStart"/>
      <w:r w:rsidRPr="002E6158">
        <w:rPr>
          <w:color w:val="000000" w:themeColor="text1"/>
          <w:sz w:val="20"/>
          <w:szCs w:val="20"/>
          <w:lang w:val="sv"/>
        </w:rPr>
        <w:t>Kerveillant</w:t>
      </w:r>
      <w:proofErr w:type="spellEnd"/>
    </w:p>
    <w:p w14:paraId="45A937FD" w14:textId="77777777" w:rsidR="00B520DE" w:rsidRPr="002E6158" w:rsidRDefault="00B520DE" w:rsidP="00C51C1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E6158">
        <w:rPr>
          <w:color w:val="000000" w:themeColor="text1"/>
          <w:sz w:val="20"/>
          <w:szCs w:val="20"/>
          <w:lang w:val="sv"/>
        </w:rPr>
        <w:t xml:space="preserve">(33) 1 49 10 81 60 </w:t>
      </w:r>
    </w:p>
    <w:p w14:paraId="07D5D0D0" w14:textId="77777777" w:rsidR="00B520DE" w:rsidRPr="00F31D7A" w:rsidRDefault="00BE200C" w:rsidP="00C51C19">
      <w:pPr>
        <w:spacing w:after="0" w:line="240" w:lineRule="auto"/>
        <w:rPr>
          <w:rFonts w:ascii="Arial" w:hAnsi="Arial" w:cs="Arial"/>
          <w:color w:val="0563C1"/>
          <w:sz w:val="20"/>
          <w:szCs w:val="20"/>
          <w:u w:val="single"/>
          <w:lang w:val="de-DE"/>
        </w:rPr>
      </w:pPr>
      <w:hyperlink r:id="rId21" w:history="1">
        <w:r w:rsidR="00B520DE" w:rsidRPr="002E6158">
          <w:rPr>
            <w:rStyle w:val="Hyperlink"/>
            <w:sz w:val="20"/>
            <w:szCs w:val="20"/>
            <w:lang w:val="sv"/>
          </w:rPr>
          <w:t>anne.kerveillant@pierre-fabre.com</w:t>
        </w:r>
      </w:hyperlink>
    </w:p>
    <w:p w14:paraId="521F532D" w14:textId="6B77125B" w:rsidR="00B520DE" w:rsidRDefault="00B520DE" w:rsidP="00C51C19">
      <w:pPr>
        <w:spacing w:after="0" w:line="240" w:lineRule="auto"/>
      </w:pPr>
    </w:p>
    <w:sectPr w:rsidR="00B520DE" w:rsidSect="006D6A69">
      <w:pgSz w:w="11907" w:h="16840" w:code="9"/>
      <w:pgMar w:top="1440" w:right="1440" w:bottom="993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0657" w14:textId="77777777" w:rsidR="00C52E87" w:rsidRDefault="00C52E87" w:rsidP="00273B0E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14:paraId="6C2094A8" w14:textId="77777777" w:rsidR="00C52E87" w:rsidRDefault="00C52E87" w:rsidP="00273B0E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D043" w14:textId="77777777" w:rsidR="00C52E87" w:rsidRDefault="00C52E87" w:rsidP="00273B0E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14:paraId="535E0B11" w14:textId="77777777" w:rsidR="00C52E87" w:rsidRDefault="00C52E87" w:rsidP="00273B0E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8C3"/>
    <w:multiLevelType w:val="hybridMultilevel"/>
    <w:tmpl w:val="23F83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837DF"/>
    <w:multiLevelType w:val="hybridMultilevel"/>
    <w:tmpl w:val="23EE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537"/>
    <w:multiLevelType w:val="hybridMultilevel"/>
    <w:tmpl w:val="0740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29DE"/>
    <w:multiLevelType w:val="hybridMultilevel"/>
    <w:tmpl w:val="C81C5AAE"/>
    <w:lvl w:ilvl="0" w:tplc="51965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AB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04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8A2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08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BEBC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46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A2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E85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C1246A"/>
    <w:multiLevelType w:val="hybridMultilevel"/>
    <w:tmpl w:val="4C8E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44E7E"/>
    <w:multiLevelType w:val="hybridMultilevel"/>
    <w:tmpl w:val="E56C20DC"/>
    <w:lvl w:ilvl="0" w:tplc="DBACF63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A10AD"/>
    <w:multiLevelType w:val="hybridMultilevel"/>
    <w:tmpl w:val="FDCC3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73FB9"/>
    <w:multiLevelType w:val="hybridMultilevel"/>
    <w:tmpl w:val="3A64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3586"/>
    <w:multiLevelType w:val="hybridMultilevel"/>
    <w:tmpl w:val="4114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A1BBF"/>
    <w:multiLevelType w:val="hybridMultilevel"/>
    <w:tmpl w:val="6E18FF54"/>
    <w:lvl w:ilvl="0" w:tplc="DBACF63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995582"/>
    <w:multiLevelType w:val="hybridMultilevel"/>
    <w:tmpl w:val="53DC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43FCF"/>
    <w:multiLevelType w:val="hybridMultilevel"/>
    <w:tmpl w:val="75E2F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157C"/>
    <w:multiLevelType w:val="hybridMultilevel"/>
    <w:tmpl w:val="FA74E942"/>
    <w:lvl w:ilvl="0" w:tplc="40740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2F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369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6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2F2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346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CA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854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253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6425CC3"/>
    <w:multiLevelType w:val="hybridMultilevel"/>
    <w:tmpl w:val="C6C4F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142A72"/>
    <w:multiLevelType w:val="hybridMultilevel"/>
    <w:tmpl w:val="0C08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F46AA"/>
    <w:multiLevelType w:val="hybridMultilevel"/>
    <w:tmpl w:val="3BD8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5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CA"/>
    <w:rsid w:val="00012B0B"/>
    <w:rsid w:val="00015638"/>
    <w:rsid w:val="000A454D"/>
    <w:rsid w:val="000B43BE"/>
    <w:rsid w:val="000D537F"/>
    <w:rsid w:val="000E5CC0"/>
    <w:rsid w:val="0010103B"/>
    <w:rsid w:val="00154211"/>
    <w:rsid w:val="00161B22"/>
    <w:rsid w:val="00161FA1"/>
    <w:rsid w:val="00164BC6"/>
    <w:rsid w:val="00177F6C"/>
    <w:rsid w:val="001826A5"/>
    <w:rsid w:val="001C04DD"/>
    <w:rsid w:val="001D50D7"/>
    <w:rsid w:val="00212199"/>
    <w:rsid w:val="00234101"/>
    <w:rsid w:val="0025605A"/>
    <w:rsid w:val="00270960"/>
    <w:rsid w:val="00273B0E"/>
    <w:rsid w:val="00280930"/>
    <w:rsid w:val="002A462C"/>
    <w:rsid w:val="002B729A"/>
    <w:rsid w:val="002D3264"/>
    <w:rsid w:val="002F4186"/>
    <w:rsid w:val="003010F4"/>
    <w:rsid w:val="00317094"/>
    <w:rsid w:val="003364CA"/>
    <w:rsid w:val="00341DCD"/>
    <w:rsid w:val="0037245F"/>
    <w:rsid w:val="003900CD"/>
    <w:rsid w:val="00393710"/>
    <w:rsid w:val="003A2B95"/>
    <w:rsid w:val="003E0E44"/>
    <w:rsid w:val="003F23BE"/>
    <w:rsid w:val="003F3609"/>
    <w:rsid w:val="00406270"/>
    <w:rsid w:val="00414FBE"/>
    <w:rsid w:val="00415936"/>
    <w:rsid w:val="00423769"/>
    <w:rsid w:val="00434E71"/>
    <w:rsid w:val="004732FD"/>
    <w:rsid w:val="004A0A38"/>
    <w:rsid w:val="004B7ECC"/>
    <w:rsid w:val="004D326A"/>
    <w:rsid w:val="004D43C3"/>
    <w:rsid w:val="00527C53"/>
    <w:rsid w:val="005438CB"/>
    <w:rsid w:val="00552CEF"/>
    <w:rsid w:val="005712C6"/>
    <w:rsid w:val="00571EF3"/>
    <w:rsid w:val="005C67B8"/>
    <w:rsid w:val="005E4890"/>
    <w:rsid w:val="005F6F4F"/>
    <w:rsid w:val="00605A12"/>
    <w:rsid w:val="00635E10"/>
    <w:rsid w:val="00655123"/>
    <w:rsid w:val="00660B97"/>
    <w:rsid w:val="00663F30"/>
    <w:rsid w:val="0066517B"/>
    <w:rsid w:val="006702B2"/>
    <w:rsid w:val="006857A0"/>
    <w:rsid w:val="006929CD"/>
    <w:rsid w:val="006A5B8F"/>
    <w:rsid w:val="006C7451"/>
    <w:rsid w:val="006D3D36"/>
    <w:rsid w:val="006D495D"/>
    <w:rsid w:val="006D6A69"/>
    <w:rsid w:val="00772095"/>
    <w:rsid w:val="007A42DB"/>
    <w:rsid w:val="007B0975"/>
    <w:rsid w:val="007B768A"/>
    <w:rsid w:val="007D531F"/>
    <w:rsid w:val="0080059C"/>
    <w:rsid w:val="0081249B"/>
    <w:rsid w:val="00830BEF"/>
    <w:rsid w:val="0083399B"/>
    <w:rsid w:val="00840BAD"/>
    <w:rsid w:val="0088171C"/>
    <w:rsid w:val="008E5498"/>
    <w:rsid w:val="008E5E14"/>
    <w:rsid w:val="008F23A0"/>
    <w:rsid w:val="00902A8B"/>
    <w:rsid w:val="00912A17"/>
    <w:rsid w:val="0092487D"/>
    <w:rsid w:val="00941620"/>
    <w:rsid w:val="00957B9B"/>
    <w:rsid w:val="00982F6C"/>
    <w:rsid w:val="00987FD2"/>
    <w:rsid w:val="009D2843"/>
    <w:rsid w:val="00A02102"/>
    <w:rsid w:val="00A51B8B"/>
    <w:rsid w:val="00A54D73"/>
    <w:rsid w:val="00A600D8"/>
    <w:rsid w:val="00A64AB2"/>
    <w:rsid w:val="00A726AE"/>
    <w:rsid w:val="00A82C78"/>
    <w:rsid w:val="00A87544"/>
    <w:rsid w:val="00A97D56"/>
    <w:rsid w:val="00AA0F64"/>
    <w:rsid w:val="00AB3090"/>
    <w:rsid w:val="00AC1C82"/>
    <w:rsid w:val="00AD0802"/>
    <w:rsid w:val="00AE2BC8"/>
    <w:rsid w:val="00B221F4"/>
    <w:rsid w:val="00B379BD"/>
    <w:rsid w:val="00B51284"/>
    <w:rsid w:val="00B520DE"/>
    <w:rsid w:val="00B90869"/>
    <w:rsid w:val="00BC7CA3"/>
    <w:rsid w:val="00BE200C"/>
    <w:rsid w:val="00C2206E"/>
    <w:rsid w:val="00C42184"/>
    <w:rsid w:val="00C51C19"/>
    <w:rsid w:val="00C52CD0"/>
    <w:rsid w:val="00C52E87"/>
    <w:rsid w:val="00C6073D"/>
    <w:rsid w:val="00CC484C"/>
    <w:rsid w:val="00CD7C50"/>
    <w:rsid w:val="00CE4A47"/>
    <w:rsid w:val="00D15A27"/>
    <w:rsid w:val="00D46084"/>
    <w:rsid w:val="00D737F7"/>
    <w:rsid w:val="00D73AC8"/>
    <w:rsid w:val="00D91B2F"/>
    <w:rsid w:val="00DC36B7"/>
    <w:rsid w:val="00DC3888"/>
    <w:rsid w:val="00E00BB7"/>
    <w:rsid w:val="00E042B1"/>
    <w:rsid w:val="00E1095B"/>
    <w:rsid w:val="00E2463F"/>
    <w:rsid w:val="00E26D7D"/>
    <w:rsid w:val="00E667FB"/>
    <w:rsid w:val="00E75909"/>
    <w:rsid w:val="00EB0F86"/>
    <w:rsid w:val="00EB4FE3"/>
    <w:rsid w:val="00EB5CF2"/>
    <w:rsid w:val="00EC7EF5"/>
    <w:rsid w:val="00EF2272"/>
    <w:rsid w:val="00EF512C"/>
    <w:rsid w:val="00F010ED"/>
    <w:rsid w:val="00F20A9B"/>
    <w:rsid w:val="00F253A6"/>
    <w:rsid w:val="00F359FF"/>
    <w:rsid w:val="00F36A60"/>
    <w:rsid w:val="00F859DD"/>
    <w:rsid w:val="00F90F18"/>
    <w:rsid w:val="00FA1075"/>
    <w:rsid w:val="00FB33BC"/>
    <w:rsid w:val="00FE12AE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0D92"/>
  <w15:chartTrackingRefBased/>
  <w15:docId w15:val="{F2061690-80B4-4BB2-95A6-A68C0B09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mmary Bullets,Footer Setting,Bullet List,FooterText,List Paragraph1,numbered,Paragraphe de liste1,Bulletr List Paragraph,列出段落,列出段落1,List Paragraph2,List Paragraph21,Párrafo de lista1,Parágrafo da Lista1,リスト段落1,Listeafsnit1,L"/>
    <w:basedOn w:val="Normal"/>
    <w:link w:val="ListParagraphChar"/>
    <w:uiPriority w:val="34"/>
    <w:qFormat/>
    <w:rsid w:val="002A462C"/>
    <w:pPr>
      <w:ind w:left="720"/>
      <w:contextualSpacing/>
    </w:pPr>
  </w:style>
  <w:style w:type="character" w:customStyle="1" w:styleId="ListParagraphChar">
    <w:name w:val="List Paragraph Char"/>
    <w:aliases w:val="Summary Bullets Char,Footer Setting Char,Bullet List Char,FooterText Char,List Paragraph1 Char,numbered Char,Paragraphe de liste1 Char,Bulletr List Paragraph Char,列出段落 Char,列出段落1 Char,List Paragraph2 Char,List Paragraph21 Char,L Char"/>
    <w:basedOn w:val="DefaultParagraphFont"/>
    <w:link w:val="ListParagraph"/>
    <w:uiPriority w:val="34"/>
    <w:qFormat/>
    <w:locked/>
    <w:rsid w:val="004A0A38"/>
  </w:style>
  <w:style w:type="character" w:styleId="Hyperlink">
    <w:name w:val="Hyperlink"/>
    <w:basedOn w:val="DefaultParagraphFont"/>
    <w:uiPriority w:val="99"/>
    <w:unhideWhenUsed/>
    <w:rsid w:val="00B520D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52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0F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2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BC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3B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B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3B0E"/>
    <w:rPr>
      <w:vertAlign w:val="superscript"/>
    </w:rPr>
  </w:style>
  <w:style w:type="paragraph" w:customStyle="1" w:styleId="Default">
    <w:name w:val="Default"/>
    <w:rsid w:val="003010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10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10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103B"/>
    <w:rPr>
      <w:vertAlign w:val="superscript"/>
    </w:rPr>
  </w:style>
  <w:style w:type="character" w:customStyle="1" w:styleId="A2">
    <w:name w:val="A2"/>
    <w:uiPriority w:val="99"/>
    <w:rsid w:val="0010103B"/>
    <w:rPr>
      <w:color w:val="1B1B1A"/>
      <w:sz w:val="60"/>
      <w:szCs w:val="60"/>
    </w:rPr>
  </w:style>
  <w:style w:type="paragraph" w:styleId="Revision">
    <w:name w:val="Revision"/>
    <w:hidden/>
    <w:uiPriority w:val="99"/>
    <w:semiHidden/>
    <w:rsid w:val="00EB0F8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53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87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07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06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ucray.com/fr-fr" TargetMode="External"/><Relationship Id="rId18" Type="http://schemas.openxmlformats.org/officeDocument/2006/relationships/hyperlink" Target="https://www.fondationpierrefabre.org/en/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e.kerveillant@pierre-fabr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lorane.com/fr-fr" TargetMode="External"/><Relationship Id="rId17" Type="http://schemas.openxmlformats.org/officeDocument/2006/relationships/hyperlink" Target="https://fr-fr.pierrefabre-oralcar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turactive.fr/" TargetMode="External"/><Relationship Id="rId20" Type="http://schemas.openxmlformats.org/officeDocument/2006/relationships/hyperlink" Target="https://twitter.com/pierrefab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au-thermale-avene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erma.fr/fr-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ierre-fabre.com/en/our-brands/caring-for-the-skin" TargetMode="External"/><Relationship Id="rId19" Type="http://schemas.openxmlformats.org/officeDocument/2006/relationships/hyperlink" Target="https://www.pierre-fabre.com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erre-fabre.com/en/our-brands/caring-for-cancer/our-therapeutic-solutions" TargetMode="External"/><Relationship Id="rId14" Type="http://schemas.openxmlformats.org/officeDocument/2006/relationships/hyperlink" Target="https://www.renefurterer.f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54CF-D85F-4ED8-AD72-68F06FB7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1265</Words>
  <Characters>6705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SALIENCE</dc:creator>
  <cp:keywords/>
  <dc:description/>
  <cp:lastModifiedBy>EKBERG Mimmi</cp:lastModifiedBy>
  <cp:revision>11</cp:revision>
  <dcterms:created xsi:type="dcterms:W3CDTF">2022-03-11T14:21:00Z</dcterms:created>
  <dcterms:modified xsi:type="dcterms:W3CDTF">2022-03-11T14:57:00Z</dcterms:modified>
  <cp:category/>
</cp:coreProperties>
</file>