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4A7CB" w14:textId="16B09BE1" w:rsidR="00D97E6D" w:rsidRPr="00F65D5A" w:rsidRDefault="00FF11EF" w:rsidP="00596484">
      <w:pPr>
        <w:pStyle w:val="Boldbodytext"/>
        <w:spacing w:line="240" w:lineRule="auto"/>
        <w:jc w:val="both"/>
        <w:rPr>
          <w:b w:val="0"/>
          <w:bCs w:val="0"/>
        </w:rPr>
      </w:pPr>
      <w:r>
        <w:rPr>
          <w:b w:val="0"/>
          <w:bCs w:val="0"/>
        </w:rPr>
        <w:t>18</w:t>
      </w:r>
      <w:r w:rsidR="0831153E" w:rsidRPr="00FF11EF">
        <w:rPr>
          <w:b w:val="0"/>
          <w:bCs w:val="0"/>
        </w:rPr>
        <w:t xml:space="preserve"> </w:t>
      </w:r>
      <w:r w:rsidR="00867CD7" w:rsidRPr="00FF11EF">
        <w:rPr>
          <w:b w:val="0"/>
          <w:bCs w:val="0"/>
        </w:rPr>
        <w:t xml:space="preserve">June </w:t>
      </w:r>
      <w:r w:rsidR="0831153E" w:rsidRPr="00FF11EF">
        <w:rPr>
          <w:b w:val="0"/>
          <w:bCs w:val="0"/>
        </w:rPr>
        <w:t>201</w:t>
      </w:r>
      <w:r w:rsidR="00477235" w:rsidRPr="00FF11EF">
        <w:rPr>
          <w:b w:val="0"/>
          <w:bCs w:val="0"/>
        </w:rPr>
        <w:t>9</w:t>
      </w:r>
      <w:r w:rsidR="0831153E" w:rsidRPr="00FF11EF">
        <w:rPr>
          <w:b w:val="0"/>
          <w:bCs w:val="0"/>
        </w:rPr>
        <w:t xml:space="preserve"> </w:t>
      </w:r>
      <w:r>
        <w:rPr>
          <w:b w:val="0"/>
          <w:bCs w:val="0"/>
        </w:rPr>
        <w:t>07:00</w:t>
      </w:r>
      <w:r w:rsidR="0831153E" w:rsidRPr="00FF11EF">
        <w:rPr>
          <w:b w:val="0"/>
          <w:bCs w:val="0"/>
        </w:rPr>
        <w:t xml:space="preserve"> BST</w:t>
      </w:r>
    </w:p>
    <w:p w14:paraId="5CEFC0AE" w14:textId="77777777" w:rsidR="002C0606" w:rsidRPr="00596484" w:rsidRDefault="002C0606" w:rsidP="00596484">
      <w:pPr>
        <w:jc w:val="both"/>
        <w:rPr>
          <w:rFonts w:eastAsia="Arial" w:cs="Arial"/>
          <w:b/>
          <w:bCs/>
          <w:szCs w:val="22"/>
        </w:rPr>
      </w:pPr>
    </w:p>
    <w:p w14:paraId="5424D769" w14:textId="777B7D77" w:rsidR="00477235" w:rsidRPr="00596484" w:rsidRDefault="00477235" w:rsidP="00596484">
      <w:pPr>
        <w:jc w:val="center"/>
        <w:rPr>
          <w:rFonts w:eastAsia="Calibri" w:cs="Arial"/>
          <w:b/>
          <w:bCs/>
          <w:iCs/>
          <w:szCs w:val="22"/>
        </w:rPr>
      </w:pPr>
      <w:proofErr w:type="spellStart"/>
      <w:r w:rsidRPr="00F65D5A">
        <w:rPr>
          <w:rFonts w:eastAsia="Calibri" w:cs="Arial"/>
          <w:b/>
          <w:bCs/>
          <w:i/>
          <w:iCs/>
          <w:sz w:val="24"/>
        </w:rPr>
        <w:t>Lynparza</w:t>
      </w:r>
      <w:proofErr w:type="spellEnd"/>
      <w:r w:rsidR="00741F4C" w:rsidRPr="00F65D5A">
        <w:rPr>
          <w:rFonts w:eastAsia="Calibri" w:cs="Arial"/>
          <w:b/>
          <w:bCs/>
          <w:i/>
          <w:iCs/>
          <w:sz w:val="24"/>
        </w:rPr>
        <w:t xml:space="preserve"> </w:t>
      </w:r>
      <w:r w:rsidR="00F02878" w:rsidRPr="00F65D5A">
        <w:rPr>
          <w:rFonts w:eastAsia="Calibri" w:cs="Arial"/>
          <w:b/>
          <w:bCs/>
          <w:iCs/>
          <w:sz w:val="24"/>
        </w:rPr>
        <w:t>a</w:t>
      </w:r>
      <w:r w:rsidRPr="00F65D5A">
        <w:rPr>
          <w:rFonts w:eastAsia="Calibri" w:cs="Arial"/>
          <w:b/>
          <w:bCs/>
          <w:iCs/>
          <w:sz w:val="24"/>
        </w:rPr>
        <w:t>pproved in</w:t>
      </w:r>
      <w:r w:rsidR="002656A2" w:rsidRPr="00F65D5A">
        <w:rPr>
          <w:rFonts w:eastAsia="Calibri" w:cs="Arial"/>
          <w:b/>
          <w:bCs/>
          <w:iCs/>
          <w:sz w:val="24"/>
        </w:rPr>
        <w:t xml:space="preserve"> the</w:t>
      </w:r>
      <w:r w:rsidRPr="00F65D5A">
        <w:rPr>
          <w:rFonts w:eastAsia="Calibri" w:cs="Arial"/>
          <w:b/>
          <w:bCs/>
          <w:iCs/>
          <w:sz w:val="24"/>
        </w:rPr>
        <w:t xml:space="preserve"> EU </w:t>
      </w:r>
      <w:r w:rsidR="002656A2" w:rsidRPr="00F65D5A">
        <w:rPr>
          <w:rFonts w:eastAsia="Calibri" w:cs="Arial"/>
          <w:b/>
          <w:bCs/>
          <w:iCs/>
          <w:sz w:val="24"/>
        </w:rPr>
        <w:t xml:space="preserve">for </w:t>
      </w:r>
      <w:r w:rsidR="00BF0719" w:rsidRPr="00F65D5A">
        <w:rPr>
          <w:rFonts w:eastAsia="Calibri" w:cs="Arial"/>
          <w:b/>
          <w:bCs/>
          <w:iCs/>
          <w:sz w:val="24"/>
        </w:rPr>
        <w:t>1st</w:t>
      </w:r>
      <w:r w:rsidRPr="00F65D5A">
        <w:rPr>
          <w:rFonts w:eastAsia="Calibri" w:cs="Arial"/>
          <w:b/>
          <w:bCs/>
          <w:iCs/>
          <w:sz w:val="24"/>
        </w:rPr>
        <w:t>-</w:t>
      </w:r>
      <w:r w:rsidR="00F02878" w:rsidRPr="00F65D5A">
        <w:rPr>
          <w:rFonts w:eastAsia="Calibri" w:cs="Arial"/>
          <w:b/>
          <w:bCs/>
          <w:iCs/>
          <w:sz w:val="24"/>
        </w:rPr>
        <w:t>l</w:t>
      </w:r>
      <w:r w:rsidRPr="00F65D5A">
        <w:rPr>
          <w:rFonts w:eastAsia="Calibri" w:cs="Arial"/>
          <w:b/>
          <w:bCs/>
          <w:iCs/>
          <w:sz w:val="24"/>
        </w:rPr>
        <w:t xml:space="preserve">ine </w:t>
      </w:r>
      <w:r w:rsidR="00F02878" w:rsidRPr="00F65D5A">
        <w:rPr>
          <w:rFonts w:eastAsia="Calibri" w:cs="Arial"/>
          <w:b/>
          <w:bCs/>
          <w:iCs/>
          <w:sz w:val="24"/>
        </w:rPr>
        <w:t>m</w:t>
      </w:r>
      <w:r w:rsidRPr="00F65D5A">
        <w:rPr>
          <w:rFonts w:eastAsia="Calibri" w:cs="Arial"/>
          <w:b/>
          <w:bCs/>
          <w:iCs/>
          <w:sz w:val="24"/>
        </w:rPr>
        <w:t>aintenance</w:t>
      </w:r>
      <w:r w:rsidR="00770150" w:rsidRPr="00F65D5A">
        <w:rPr>
          <w:rFonts w:eastAsia="Calibri" w:cs="Arial"/>
          <w:b/>
          <w:bCs/>
          <w:iCs/>
          <w:sz w:val="24"/>
        </w:rPr>
        <w:br/>
      </w:r>
      <w:r w:rsidR="002656A2" w:rsidRPr="00F65D5A">
        <w:rPr>
          <w:rFonts w:eastAsia="Calibri" w:cs="Arial"/>
          <w:b/>
          <w:bCs/>
          <w:iCs/>
          <w:sz w:val="24"/>
        </w:rPr>
        <w:t>treatment of</w:t>
      </w:r>
      <w:r w:rsidRPr="00F65D5A">
        <w:rPr>
          <w:rFonts w:eastAsia="Calibri" w:cs="Arial"/>
          <w:b/>
          <w:bCs/>
          <w:iCs/>
          <w:sz w:val="24"/>
        </w:rPr>
        <w:t xml:space="preserve"> </w:t>
      </w:r>
      <w:r w:rsidRPr="00596484">
        <w:rPr>
          <w:rFonts w:eastAsia="Calibri" w:cs="Arial"/>
          <w:b/>
          <w:bCs/>
          <w:sz w:val="24"/>
        </w:rPr>
        <w:t>BRCA</w:t>
      </w:r>
      <w:r w:rsidRPr="00F65D5A">
        <w:rPr>
          <w:rFonts w:eastAsia="Calibri" w:cs="Arial"/>
          <w:b/>
          <w:bCs/>
          <w:iCs/>
          <w:sz w:val="24"/>
        </w:rPr>
        <w:t>-</w:t>
      </w:r>
      <w:r w:rsidR="00F02878" w:rsidRPr="00F65D5A">
        <w:rPr>
          <w:rFonts w:eastAsia="Calibri" w:cs="Arial"/>
          <w:b/>
          <w:bCs/>
          <w:iCs/>
          <w:sz w:val="24"/>
        </w:rPr>
        <w:t>m</w:t>
      </w:r>
      <w:r w:rsidRPr="00F65D5A">
        <w:rPr>
          <w:rFonts w:eastAsia="Calibri" w:cs="Arial"/>
          <w:b/>
          <w:bCs/>
          <w:iCs/>
          <w:sz w:val="24"/>
        </w:rPr>
        <w:t xml:space="preserve">utated </w:t>
      </w:r>
      <w:r w:rsidR="00F02878" w:rsidRPr="00F65D5A">
        <w:rPr>
          <w:rFonts w:eastAsia="Calibri" w:cs="Arial"/>
          <w:b/>
          <w:bCs/>
          <w:iCs/>
          <w:sz w:val="24"/>
        </w:rPr>
        <w:t>a</w:t>
      </w:r>
      <w:r w:rsidRPr="00F65D5A">
        <w:rPr>
          <w:rFonts w:eastAsia="Calibri" w:cs="Arial"/>
          <w:b/>
          <w:bCs/>
          <w:iCs/>
          <w:sz w:val="24"/>
        </w:rPr>
        <w:t xml:space="preserve">dvanced </w:t>
      </w:r>
      <w:r w:rsidR="00F02878" w:rsidRPr="00F65D5A">
        <w:rPr>
          <w:rFonts w:eastAsia="Calibri" w:cs="Arial"/>
          <w:b/>
          <w:bCs/>
          <w:iCs/>
          <w:sz w:val="24"/>
        </w:rPr>
        <w:t>o</w:t>
      </w:r>
      <w:r w:rsidRPr="00F65D5A">
        <w:rPr>
          <w:rFonts w:eastAsia="Calibri" w:cs="Arial"/>
          <w:b/>
          <w:bCs/>
          <w:iCs/>
          <w:sz w:val="24"/>
        </w:rPr>
        <w:t xml:space="preserve">varian </w:t>
      </w:r>
      <w:r w:rsidR="00F02878" w:rsidRPr="00F65D5A">
        <w:rPr>
          <w:rFonts w:eastAsia="Calibri" w:cs="Arial"/>
          <w:b/>
          <w:bCs/>
          <w:iCs/>
          <w:sz w:val="24"/>
        </w:rPr>
        <w:t>c</w:t>
      </w:r>
      <w:r w:rsidRPr="00F65D5A">
        <w:rPr>
          <w:rFonts w:eastAsia="Calibri" w:cs="Arial"/>
          <w:b/>
          <w:bCs/>
          <w:iCs/>
          <w:sz w:val="24"/>
        </w:rPr>
        <w:t>ance</w:t>
      </w:r>
      <w:r w:rsidR="001C299C" w:rsidRPr="00F65D5A">
        <w:rPr>
          <w:rFonts w:eastAsia="Calibri" w:cs="Arial"/>
          <w:b/>
          <w:bCs/>
          <w:iCs/>
          <w:sz w:val="24"/>
        </w:rPr>
        <w:t>r</w:t>
      </w:r>
    </w:p>
    <w:p w14:paraId="7CFEE81C" w14:textId="77777777" w:rsidR="002C0606" w:rsidRPr="00F65D5A" w:rsidRDefault="002C0606" w:rsidP="00596484">
      <w:pPr>
        <w:jc w:val="both"/>
        <w:rPr>
          <w:rStyle w:val="bf"/>
          <w:rFonts w:eastAsia="Arial" w:cs="Arial"/>
          <w:b/>
          <w:bCs/>
          <w:i/>
          <w:iCs/>
          <w:color w:val="000000" w:themeColor="text1"/>
          <w:szCs w:val="22"/>
        </w:rPr>
      </w:pPr>
    </w:p>
    <w:p w14:paraId="28A49271" w14:textId="5789433A" w:rsidR="00477235" w:rsidRPr="00F65D5A" w:rsidRDefault="00074192" w:rsidP="00596484">
      <w:pPr>
        <w:jc w:val="center"/>
        <w:rPr>
          <w:rFonts w:eastAsia="Calibri" w:cs="Arial"/>
          <w:b/>
          <w:bCs/>
          <w:i/>
          <w:iCs/>
          <w:szCs w:val="22"/>
        </w:rPr>
      </w:pPr>
      <w:r w:rsidRPr="00F65D5A">
        <w:rPr>
          <w:rFonts w:eastAsia="Calibri" w:cs="Arial"/>
          <w:b/>
          <w:bCs/>
          <w:i/>
          <w:iCs/>
          <w:szCs w:val="22"/>
        </w:rPr>
        <w:t xml:space="preserve">60% of patients receiving </w:t>
      </w:r>
      <w:proofErr w:type="spellStart"/>
      <w:r w:rsidRPr="00F65D5A">
        <w:rPr>
          <w:rFonts w:eastAsia="Calibri" w:cs="Arial"/>
          <w:b/>
          <w:bCs/>
          <w:i/>
          <w:iCs/>
          <w:szCs w:val="22"/>
        </w:rPr>
        <w:t>Lynparza</w:t>
      </w:r>
      <w:proofErr w:type="spellEnd"/>
      <w:r w:rsidRPr="00F65D5A">
        <w:rPr>
          <w:rFonts w:eastAsia="Calibri" w:cs="Arial"/>
          <w:b/>
          <w:bCs/>
          <w:i/>
          <w:iCs/>
          <w:szCs w:val="22"/>
        </w:rPr>
        <w:t xml:space="preserve"> remained free of disease progression</w:t>
      </w:r>
      <w:r w:rsidR="001C299C" w:rsidRPr="00F65D5A">
        <w:rPr>
          <w:rFonts w:eastAsia="Calibri" w:cs="Arial"/>
          <w:b/>
          <w:bCs/>
          <w:i/>
          <w:iCs/>
          <w:szCs w:val="22"/>
        </w:rPr>
        <w:br/>
      </w:r>
      <w:r w:rsidRPr="00F65D5A">
        <w:rPr>
          <w:rFonts w:eastAsia="Calibri" w:cs="Arial"/>
          <w:b/>
          <w:bCs/>
          <w:i/>
          <w:iCs/>
          <w:szCs w:val="22"/>
        </w:rPr>
        <w:t>after three years vs. 27% on placebo in</w:t>
      </w:r>
      <w:r w:rsidR="008261DE" w:rsidRPr="00F65D5A">
        <w:rPr>
          <w:rFonts w:eastAsia="Calibri" w:cs="Arial"/>
          <w:b/>
          <w:bCs/>
          <w:i/>
          <w:iCs/>
          <w:szCs w:val="22"/>
        </w:rPr>
        <w:t xml:space="preserve"> pivotal Phase III</w:t>
      </w:r>
      <w:r w:rsidRPr="00F65D5A">
        <w:rPr>
          <w:rFonts w:eastAsia="Calibri" w:cs="Arial"/>
          <w:b/>
          <w:bCs/>
          <w:i/>
          <w:iCs/>
          <w:szCs w:val="22"/>
        </w:rPr>
        <w:t xml:space="preserve"> SOLO</w:t>
      </w:r>
      <w:r w:rsidR="00CC5569" w:rsidRPr="00F65D5A">
        <w:rPr>
          <w:rFonts w:eastAsia="Calibri" w:cs="Arial"/>
          <w:b/>
          <w:bCs/>
          <w:i/>
          <w:iCs/>
          <w:szCs w:val="22"/>
        </w:rPr>
        <w:t>-</w:t>
      </w:r>
      <w:r w:rsidRPr="00F65D5A">
        <w:rPr>
          <w:rFonts w:eastAsia="Calibri" w:cs="Arial"/>
          <w:b/>
          <w:bCs/>
          <w:i/>
          <w:iCs/>
          <w:szCs w:val="22"/>
        </w:rPr>
        <w:t>1 trial</w:t>
      </w:r>
    </w:p>
    <w:p w14:paraId="53FECD2E" w14:textId="77777777" w:rsidR="008261DE" w:rsidRPr="00596484" w:rsidRDefault="008261DE" w:rsidP="00596484">
      <w:pPr>
        <w:jc w:val="both"/>
        <w:rPr>
          <w:rFonts w:eastAsia="Calibri" w:cs="Arial"/>
          <w:b/>
          <w:szCs w:val="22"/>
        </w:rPr>
      </w:pPr>
    </w:p>
    <w:p w14:paraId="218F3BA9" w14:textId="2F79A2A3" w:rsidR="00477235" w:rsidRPr="00F65D5A" w:rsidRDefault="003C74F9" w:rsidP="00596484">
      <w:pPr>
        <w:jc w:val="center"/>
        <w:rPr>
          <w:rFonts w:eastAsia="Calibri" w:cs="Arial"/>
          <w:b/>
          <w:i/>
          <w:iCs/>
          <w:szCs w:val="22"/>
        </w:rPr>
      </w:pPr>
      <w:r w:rsidRPr="00F65D5A">
        <w:rPr>
          <w:rStyle w:val="bf"/>
          <w:rFonts w:eastAsia="Arial" w:cs="Arial"/>
          <w:b/>
          <w:bCs/>
          <w:i/>
          <w:iCs/>
          <w:color w:val="000000" w:themeColor="text1"/>
          <w:szCs w:val="22"/>
        </w:rPr>
        <w:t xml:space="preserve">AstraZeneca and MSD’s </w:t>
      </w:r>
      <w:proofErr w:type="spellStart"/>
      <w:r w:rsidR="00B14ADC" w:rsidRPr="00F65D5A">
        <w:rPr>
          <w:rFonts w:eastAsia="Calibri" w:cs="Arial"/>
          <w:b/>
          <w:i/>
          <w:iCs/>
          <w:szCs w:val="22"/>
        </w:rPr>
        <w:t>Lynparza</w:t>
      </w:r>
      <w:proofErr w:type="spellEnd"/>
      <w:r w:rsidR="00B14ADC" w:rsidRPr="00F65D5A">
        <w:rPr>
          <w:rFonts w:eastAsia="Calibri" w:cs="Arial"/>
          <w:b/>
          <w:i/>
          <w:iCs/>
          <w:szCs w:val="22"/>
        </w:rPr>
        <w:t xml:space="preserve"> is the o</w:t>
      </w:r>
      <w:r w:rsidR="00640FAD" w:rsidRPr="00F65D5A">
        <w:rPr>
          <w:rFonts w:eastAsia="Calibri" w:cs="Arial"/>
          <w:b/>
          <w:i/>
          <w:iCs/>
          <w:szCs w:val="22"/>
        </w:rPr>
        <w:t>nly</w:t>
      </w:r>
      <w:r w:rsidR="001C299C" w:rsidRPr="00F65D5A">
        <w:rPr>
          <w:rFonts w:eastAsia="Calibri" w:cs="Arial"/>
          <w:b/>
          <w:i/>
          <w:iCs/>
          <w:szCs w:val="22"/>
        </w:rPr>
        <w:t xml:space="preserve"> </w:t>
      </w:r>
      <w:r w:rsidR="00477235" w:rsidRPr="00F65D5A">
        <w:rPr>
          <w:rFonts w:eastAsia="Calibri" w:cs="Arial"/>
          <w:b/>
          <w:i/>
          <w:iCs/>
          <w:szCs w:val="22"/>
        </w:rPr>
        <w:t>PARP</w:t>
      </w:r>
      <w:r w:rsidR="001C299C" w:rsidRPr="00F65D5A">
        <w:rPr>
          <w:rFonts w:eastAsia="Calibri" w:cs="Arial"/>
          <w:b/>
          <w:i/>
          <w:iCs/>
          <w:szCs w:val="22"/>
        </w:rPr>
        <w:br/>
      </w:r>
      <w:r w:rsidR="00F02878" w:rsidRPr="00F65D5A">
        <w:rPr>
          <w:rFonts w:eastAsia="Calibri" w:cs="Arial"/>
          <w:b/>
          <w:i/>
          <w:iCs/>
          <w:szCs w:val="22"/>
        </w:rPr>
        <w:t>i</w:t>
      </w:r>
      <w:r w:rsidR="00477235" w:rsidRPr="00F65D5A">
        <w:rPr>
          <w:rFonts w:eastAsia="Calibri" w:cs="Arial"/>
          <w:b/>
          <w:i/>
          <w:iCs/>
          <w:szCs w:val="22"/>
        </w:rPr>
        <w:t xml:space="preserve">nhibitor </w:t>
      </w:r>
      <w:r w:rsidR="00F02878" w:rsidRPr="00F65D5A">
        <w:rPr>
          <w:rFonts w:eastAsia="Calibri" w:cs="Arial"/>
          <w:b/>
          <w:i/>
          <w:iCs/>
          <w:szCs w:val="22"/>
        </w:rPr>
        <w:t>a</w:t>
      </w:r>
      <w:r w:rsidR="00477235" w:rsidRPr="00F65D5A">
        <w:rPr>
          <w:rFonts w:eastAsia="Calibri" w:cs="Arial"/>
          <w:b/>
          <w:i/>
          <w:iCs/>
          <w:szCs w:val="22"/>
        </w:rPr>
        <w:t xml:space="preserve">pproved </w:t>
      </w:r>
      <w:r w:rsidR="000A06C6" w:rsidRPr="00F65D5A">
        <w:rPr>
          <w:rFonts w:eastAsia="Calibri" w:cs="Arial"/>
          <w:b/>
          <w:i/>
          <w:iCs/>
          <w:szCs w:val="22"/>
        </w:rPr>
        <w:t xml:space="preserve">in the EU </w:t>
      </w:r>
      <w:r w:rsidR="00477235" w:rsidRPr="00F65D5A">
        <w:rPr>
          <w:rFonts w:eastAsia="Calibri" w:cs="Arial"/>
          <w:b/>
          <w:i/>
          <w:iCs/>
          <w:szCs w:val="22"/>
        </w:rPr>
        <w:t xml:space="preserve">for </w:t>
      </w:r>
      <w:r w:rsidR="00F02878" w:rsidRPr="00F65D5A">
        <w:rPr>
          <w:rFonts w:eastAsia="Calibri" w:cs="Arial"/>
          <w:b/>
          <w:i/>
          <w:iCs/>
          <w:szCs w:val="22"/>
        </w:rPr>
        <w:t>t</w:t>
      </w:r>
      <w:r w:rsidR="00477235" w:rsidRPr="00F65D5A">
        <w:rPr>
          <w:rFonts w:eastAsia="Calibri" w:cs="Arial"/>
          <w:b/>
          <w:i/>
          <w:iCs/>
          <w:szCs w:val="22"/>
        </w:rPr>
        <w:t xml:space="preserve">his </w:t>
      </w:r>
      <w:r w:rsidR="00F02878" w:rsidRPr="00F65D5A">
        <w:rPr>
          <w:rFonts w:eastAsia="Calibri" w:cs="Arial"/>
          <w:b/>
          <w:i/>
          <w:iCs/>
          <w:szCs w:val="22"/>
        </w:rPr>
        <w:t>i</w:t>
      </w:r>
      <w:r w:rsidR="00477235" w:rsidRPr="00F65D5A">
        <w:rPr>
          <w:rFonts w:eastAsia="Calibri" w:cs="Arial"/>
          <w:b/>
          <w:i/>
          <w:iCs/>
          <w:szCs w:val="22"/>
        </w:rPr>
        <w:t>ndication</w:t>
      </w:r>
    </w:p>
    <w:p w14:paraId="3A629772" w14:textId="113BB9C5" w:rsidR="000E1E05" w:rsidRPr="00596484" w:rsidRDefault="001C299C" w:rsidP="007158E3">
      <w:pPr>
        <w:pStyle w:val="Boldbodytext"/>
        <w:spacing w:line="276" w:lineRule="auto"/>
        <w:jc w:val="both"/>
        <w:rPr>
          <w:b w:val="0"/>
          <w:bCs w:val="0"/>
          <w:color w:val="auto"/>
        </w:rPr>
      </w:pPr>
      <w:r w:rsidRPr="00F65D5A">
        <w:br/>
      </w:r>
      <w:r w:rsidR="00477235" w:rsidRPr="00596484">
        <w:rPr>
          <w:b w:val="0"/>
          <w:bCs w:val="0"/>
          <w:color w:val="auto"/>
        </w:rPr>
        <w:t xml:space="preserve">AstraZeneca and </w:t>
      </w:r>
      <w:r w:rsidR="000B3ED1" w:rsidRPr="00596484">
        <w:rPr>
          <w:b w:val="0"/>
          <w:bCs w:val="0"/>
          <w:color w:val="auto"/>
        </w:rPr>
        <w:t>MSD</w:t>
      </w:r>
      <w:r w:rsidR="00066511" w:rsidRPr="00596484">
        <w:rPr>
          <w:b w:val="0"/>
          <w:bCs w:val="0"/>
          <w:color w:val="auto"/>
        </w:rPr>
        <w:t xml:space="preserve"> Inc., Kenilworth, N.J., US (MSD: known as Merck &amp; Co., Inc. inside the US and Canada)</w:t>
      </w:r>
      <w:r w:rsidR="000B3ED1" w:rsidRPr="00596484">
        <w:rPr>
          <w:b w:val="0"/>
          <w:bCs w:val="0"/>
          <w:color w:val="auto"/>
        </w:rPr>
        <w:t xml:space="preserve"> </w:t>
      </w:r>
      <w:r w:rsidR="00477235" w:rsidRPr="00596484">
        <w:rPr>
          <w:b w:val="0"/>
          <w:bCs w:val="0"/>
          <w:color w:val="auto"/>
        </w:rPr>
        <w:t>today announced that the</w:t>
      </w:r>
      <w:r w:rsidR="00CC5569" w:rsidRPr="00596484">
        <w:rPr>
          <w:b w:val="0"/>
          <w:bCs w:val="0"/>
          <w:color w:val="auto"/>
        </w:rPr>
        <w:t xml:space="preserve"> </w:t>
      </w:r>
      <w:r w:rsidR="00933C6E" w:rsidRPr="00596484">
        <w:rPr>
          <w:b w:val="0"/>
          <w:bCs w:val="0"/>
          <w:color w:val="auto"/>
        </w:rPr>
        <w:t>European Commission (EC)</w:t>
      </w:r>
      <w:r w:rsidR="00477235" w:rsidRPr="00596484">
        <w:rPr>
          <w:b w:val="0"/>
          <w:bCs w:val="0"/>
          <w:color w:val="auto"/>
        </w:rPr>
        <w:t xml:space="preserve"> has approved </w:t>
      </w:r>
      <w:proofErr w:type="spellStart"/>
      <w:r w:rsidR="00477235" w:rsidRPr="00596484">
        <w:rPr>
          <w:b w:val="0"/>
          <w:bCs w:val="0"/>
          <w:i/>
          <w:iCs/>
          <w:color w:val="auto"/>
        </w:rPr>
        <w:t>Lynparz</w:t>
      </w:r>
      <w:r w:rsidR="00066511" w:rsidRPr="00596484">
        <w:rPr>
          <w:b w:val="0"/>
          <w:bCs w:val="0"/>
          <w:i/>
          <w:iCs/>
          <w:color w:val="auto"/>
        </w:rPr>
        <w:t>a</w:t>
      </w:r>
      <w:proofErr w:type="spellEnd"/>
      <w:r w:rsidR="00066511" w:rsidRPr="00596484">
        <w:rPr>
          <w:b w:val="0"/>
          <w:bCs w:val="0"/>
          <w:i/>
          <w:iCs/>
          <w:color w:val="auto"/>
        </w:rPr>
        <w:t xml:space="preserve"> </w:t>
      </w:r>
      <w:r w:rsidR="00066511" w:rsidRPr="00596484">
        <w:rPr>
          <w:b w:val="0"/>
          <w:bCs w:val="0"/>
          <w:color w:val="auto"/>
        </w:rPr>
        <w:t>(</w:t>
      </w:r>
      <w:proofErr w:type="spellStart"/>
      <w:r w:rsidR="00066511" w:rsidRPr="00596484">
        <w:rPr>
          <w:b w:val="0"/>
          <w:bCs w:val="0"/>
          <w:color w:val="auto"/>
        </w:rPr>
        <w:t>olaparib</w:t>
      </w:r>
      <w:proofErr w:type="spellEnd"/>
      <w:r w:rsidR="00066511" w:rsidRPr="00596484">
        <w:rPr>
          <w:b w:val="0"/>
          <w:bCs w:val="0"/>
          <w:color w:val="auto"/>
        </w:rPr>
        <w:t>)</w:t>
      </w:r>
      <w:r w:rsidR="00477235" w:rsidRPr="00596484">
        <w:rPr>
          <w:b w:val="0"/>
          <w:bCs w:val="0"/>
          <w:color w:val="auto"/>
        </w:rPr>
        <w:t xml:space="preserve"> as </w:t>
      </w:r>
      <w:r w:rsidR="000E1E05" w:rsidRPr="00596484">
        <w:rPr>
          <w:b w:val="0"/>
          <w:bCs w:val="0"/>
          <w:color w:val="auto"/>
        </w:rPr>
        <w:t>a</w:t>
      </w:r>
      <w:r w:rsidR="00477235" w:rsidRPr="00596484">
        <w:rPr>
          <w:b w:val="0"/>
          <w:bCs w:val="0"/>
          <w:color w:val="auto"/>
        </w:rPr>
        <w:t xml:space="preserve"> </w:t>
      </w:r>
      <w:r w:rsidR="000E1E05" w:rsidRPr="00596484">
        <w:rPr>
          <w:b w:val="0"/>
          <w:bCs w:val="0"/>
          <w:color w:val="auto"/>
        </w:rPr>
        <w:t xml:space="preserve">1st-line maintenance treatment </w:t>
      </w:r>
      <w:r w:rsidR="00593656" w:rsidRPr="00596484">
        <w:rPr>
          <w:b w:val="0"/>
          <w:bCs w:val="0"/>
          <w:color w:val="auto"/>
        </w:rPr>
        <w:t xml:space="preserve">for </w:t>
      </w:r>
      <w:r w:rsidR="00B474B7" w:rsidRPr="00596484">
        <w:rPr>
          <w:b w:val="0"/>
          <w:bCs w:val="0"/>
          <w:color w:val="auto"/>
        </w:rPr>
        <w:t>women</w:t>
      </w:r>
      <w:r w:rsidR="00593656" w:rsidRPr="00596484">
        <w:rPr>
          <w:b w:val="0"/>
          <w:bCs w:val="0"/>
          <w:color w:val="auto"/>
        </w:rPr>
        <w:t xml:space="preserve"> with</w:t>
      </w:r>
      <w:r w:rsidR="000E1E05" w:rsidRPr="00596484">
        <w:rPr>
          <w:b w:val="0"/>
          <w:bCs w:val="0"/>
          <w:color w:val="auto"/>
        </w:rPr>
        <w:t xml:space="preserve"> BRCA-mutated advanced ovarian cancer.</w:t>
      </w:r>
    </w:p>
    <w:p w14:paraId="3145666C" w14:textId="77777777" w:rsidR="000E1E05" w:rsidRPr="00596484" w:rsidRDefault="000E1E05" w:rsidP="007158E3">
      <w:pPr>
        <w:pStyle w:val="Boldbodytext"/>
        <w:spacing w:line="276" w:lineRule="auto"/>
        <w:jc w:val="both"/>
        <w:rPr>
          <w:b w:val="0"/>
          <w:color w:val="auto"/>
        </w:rPr>
      </w:pPr>
    </w:p>
    <w:p w14:paraId="62515661" w14:textId="68CB0477" w:rsidR="00A93C8B" w:rsidRPr="00596484" w:rsidRDefault="003C74F9" w:rsidP="007158E3">
      <w:pPr>
        <w:pStyle w:val="Boldbodytext"/>
        <w:spacing w:line="276" w:lineRule="auto"/>
        <w:jc w:val="both"/>
        <w:rPr>
          <w:b w:val="0"/>
          <w:bCs w:val="0"/>
          <w:color w:val="auto"/>
        </w:rPr>
      </w:pPr>
      <w:r w:rsidRPr="00596484">
        <w:rPr>
          <w:b w:val="0"/>
          <w:bCs w:val="0"/>
          <w:color w:val="auto"/>
        </w:rPr>
        <w:t xml:space="preserve">The licensed indication is </w:t>
      </w:r>
      <w:r w:rsidR="001C299C" w:rsidRPr="00596484">
        <w:rPr>
          <w:b w:val="0"/>
          <w:bCs w:val="0"/>
          <w:color w:val="auto"/>
        </w:rPr>
        <w:t xml:space="preserve">as </w:t>
      </w:r>
      <w:r w:rsidR="007E4C6B" w:rsidRPr="00596484">
        <w:rPr>
          <w:b w:val="0"/>
          <w:bCs w:val="0"/>
          <w:color w:val="auto"/>
        </w:rPr>
        <w:t xml:space="preserve">a </w:t>
      </w:r>
      <w:r w:rsidR="00694227" w:rsidRPr="00694227">
        <w:rPr>
          <w:b w:val="0"/>
          <w:bCs w:val="0"/>
          <w:color w:val="auto"/>
        </w:rPr>
        <w:t xml:space="preserve">maintenance treatment of adult patients with advanced (FIGO stages III and IV) BRCA1/2-mutated (germline and/or somatic) high-grade epithelial ovarian, fallopian tube or primary peritoneal cancer who are in response (complete or partial) following completion of </w:t>
      </w:r>
      <w:r w:rsidR="00F45628">
        <w:rPr>
          <w:b w:val="0"/>
          <w:bCs w:val="0"/>
          <w:color w:val="auto"/>
        </w:rPr>
        <w:t>1st</w:t>
      </w:r>
      <w:r w:rsidR="00694227" w:rsidRPr="00694227">
        <w:rPr>
          <w:b w:val="0"/>
          <w:bCs w:val="0"/>
          <w:color w:val="auto"/>
        </w:rPr>
        <w:t>-line platinum-based chemotherapy</w:t>
      </w:r>
      <w:r w:rsidR="00477235" w:rsidRPr="00596484">
        <w:rPr>
          <w:b w:val="0"/>
          <w:bCs w:val="0"/>
          <w:color w:val="auto"/>
        </w:rPr>
        <w:t>.</w:t>
      </w:r>
    </w:p>
    <w:p w14:paraId="6FAD1B44" w14:textId="044E2A50" w:rsidR="00A93C8B" w:rsidRPr="00596484" w:rsidRDefault="00A93C8B" w:rsidP="007158E3">
      <w:pPr>
        <w:pStyle w:val="Boldbodytext"/>
        <w:spacing w:line="276" w:lineRule="auto"/>
        <w:jc w:val="both"/>
        <w:rPr>
          <w:b w:val="0"/>
          <w:color w:val="auto"/>
        </w:rPr>
      </w:pPr>
    </w:p>
    <w:p w14:paraId="158E5DD4" w14:textId="5ED5B80E" w:rsidR="00665522" w:rsidRPr="00596484" w:rsidRDefault="00665522" w:rsidP="007158E3">
      <w:pPr>
        <w:pStyle w:val="Boldbodytext"/>
        <w:spacing w:line="276" w:lineRule="auto"/>
        <w:jc w:val="both"/>
        <w:rPr>
          <w:color w:val="auto"/>
        </w:rPr>
      </w:pPr>
      <w:r w:rsidRPr="00596484">
        <w:rPr>
          <w:b w:val="0"/>
          <w:bCs w:val="0"/>
          <w:color w:val="auto"/>
        </w:rPr>
        <w:t>Dave Fredrickson, Executive Vice President, Oncology Business Unit, said</w:t>
      </w:r>
      <w:r w:rsidR="00867CD7" w:rsidRPr="00596484">
        <w:rPr>
          <w:b w:val="0"/>
          <w:bCs w:val="0"/>
          <w:color w:val="auto"/>
        </w:rPr>
        <w:t>:</w:t>
      </w:r>
      <w:r w:rsidRPr="00596484">
        <w:rPr>
          <w:b w:val="0"/>
          <w:bCs w:val="0"/>
          <w:color w:val="auto"/>
        </w:rPr>
        <w:t xml:space="preserve"> “Th</w:t>
      </w:r>
      <w:r w:rsidR="00AB7066" w:rsidRPr="00596484">
        <w:rPr>
          <w:b w:val="0"/>
          <w:bCs w:val="0"/>
          <w:color w:val="auto"/>
        </w:rPr>
        <w:t xml:space="preserve">is </w:t>
      </w:r>
      <w:r w:rsidRPr="00596484">
        <w:rPr>
          <w:b w:val="0"/>
          <w:bCs w:val="0"/>
          <w:color w:val="auto"/>
        </w:rPr>
        <w:t>approval set</w:t>
      </w:r>
      <w:r w:rsidR="00AB7066" w:rsidRPr="00596484">
        <w:rPr>
          <w:b w:val="0"/>
          <w:bCs w:val="0"/>
          <w:color w:val="auto"/>
        </w:rPr>
        <w:t>s</w:t>
      </w:r>
      <w:r w:rsidRPr="00596484">
        <w:rPr>
          <w:b w:val="0"/>
          <w:bCs w:val="0"/>
          <w:color w:val="auto"/>
        </w:rPr>
        <w:t xml:space="preserve"> the stage for a new standard of care </w:t>
      </w:r>
      <w:r w:rsidR="00AB7066" w:rsidRPr="00596484">
        <w:rPr>
          <w:b w:val="0"/>
          <w:bCs w:val="0"/>
          <w:color w:val="auto"/>
        </w:rPr>
        <w:t xml:space="preserve">in </w:t>
      </w:r>
      <w:r w:rsidR="00BF3E0C" w:rsidRPr="00596484">
        <w:rPr>
          <w:b w:val="0"/>
          <w:bCs w:val="0"/>
          <w:color w:val="auto"/>
        </w:rPr>
        <w:t>the EU</w:t>
      </w:r>
      <w:r w:rsidR="00812CA3" w:rsidRPr="00596484">
        <w:rPr>
          <w:b w:val="0"/>
          <w:bCs w:val="0"/>
          <w:color w:val="auto"/>
        </w:rPr>
        <w:t xml:space="preserve"> </w:t>
      </w:r>
      <w:r w:rsidRPr="00596484">
        <w:rPr>
          <w:b w:val="0"/>
          <w:bCs w:val="0"/>
          <w:color w:val="auto"/>
        </w:rPr>
        <w:t xml:space="preserve">for </w:t>
      </w:r>
      <w:r w:rsidR="00313B48" w:rsidRPr="00596484">
        <w:rPr>
          <w:b w:val="0"/>
          <w:bCs w:val="0"/>
          <w:color w:val="auto"/>
        </w:rPr>
        <w:t xml:space="preserve">women with </w:t>
      </w:r>
      <w:r w:rsidRPr="00596484">
        <w:rPr>
          <w:b w:val="0"/>
          <w:bCs w:val="0"/>
          <w:color w:val="auto"/>
        </w:rPr>
        <w:t xml:space="preserve">ovarian cancer </w:t>
      </w:r>
      <w:r w:rsidR="00313B48" w:rsidRPr="00596484">
        <w:rPr>
          <w:b w:val="0"/>
          <w:bCs w:val="0"/>
          <w:color w:val="auto"/>
        </w:rPr>
        <w:t>and</w:t>
      </w:r>
      <w:r w:rsidRPr="00596484">
        <w:rPr>
          <w:b w:val="0"/>
          <w:bCs w:val="0"/>
          <w:color w:val="auto"/>
        </w:rPr>
        <w:t xml:space="preserve"> </w:t>
      </w:r>
      <w:r w:rsidR="00867CD7" w:rsidRPr="00596484">
        <w:rPr>
          <w:b w:val="0"/>
          <w:bCs w:val="0"/>
          <w:color w:val="auto"/>
        </w:rPr>
        <w:t xml:space="preserve">a </w:t>
      </w:r>
      <w:r w:rsidRPr="00596484">
        <w:rPr>
          <w:b w:val="0"/>
          <w:bCs w:val="0"/>
          <w:color w:val="auto"/>
        </w:rPr>
        <w:t xml:space="preserve">BRCA mutation. </w:t>
      </w:r>
      <w:r w:rsidR="00867CD7" w:rsidRPr="00596484">
        <w:rPr>
          <w:b w:val="0"/>
          <w:bCs w:val="0"/>
          <w:color w:val="auto"/>
        </w:rPr>
        <w:t xml:space="preserve">The </w:t>
      </w:r>
      <w:r w:rsidRPr="00596484">
        <w:rPr>
          <w:b w:val="0"/>
          <w:bCs w:val="0"/>
          <w:color w:val="auto"/>
        </w:rPr>
        <w:t xml:space="preserve">goals of front-line therapy have always been long-term remission and even cure, </w:t>
      </w:r>
      <w:r w:rsidR="00867CD7" w:rsidRPr="00596484">
        <w:rPr>
          <w:b w:val="0"/>
          <w:bCs w:val="0"/>
          <w:color w:val="auto"/>
        </w:rPr>
        <w:t xml:space="preserve">yet </w:t>
      </w:r>
      <w:r w:rsidRPr="00596484">
        <w:rPr>
          <w:b w:val="0"/>
          <w:bCs w:val="0"/>
          <w:color w:val="auto"/>
        </w:rPr>
        <w:t xml:space="preserve">currently 70% of </w:t>
      </w:r>
      <w:r w:rsidR="00313B48" w:rsidRPr="00596484">
        <w:rPr>
          <w:b w:val="0"/>
          <w:bCs w:val="0"/>
          <w:color w:val="auto"/>
        </w:rPr>
        <w:t xml:space="preserve">patients </w:t>
      </w:r>
      <w:r w:rsidRPr="00596484">
        <w:rPr>
          <w:b w:val="0"/>
          <w:bCs w:val="0"/>
          <w:color w:val="auto"/>
        </w:rPr>
        <w:t>relapse within three years of initial treatment. The progression</w:t>
      </w:r>
      <w:r w:rsidR="001C299C" w:rsidRPr="00596484">
        <w:rPr>
          <w:b w:val="0"/>
          <w:bCs w:val="0"/>
          <w:color w:val="auto"/>
        </w:rPr>
        <w:t>-</w:t>
      </w:r>
      <w:r w:rsidRPr="00596484">
        <w:rPr>
          <w:b w:val="0"/>
          <w:bCs w:val="0"/>
          <w:color w:val="auto"/>
        </w:rPr>
        <w:t xml:space="preserve">free survival benefit of </w:t>
      </w:r>
      <w:proofErr w:type="spellStart"/>
      <w:r w:rsidRPr="00596484">
        <w:rPr>
          <w:b w:val="0"/>
          <w:bCs w:val="0"/>
          <w:i/>
          <w:iCs/>
          <w:color w:val="auto"/>
        </w:rPr>
        <w:t>Lynparza</w:t>
      </w:r>
      <w:proofErr w:type="spellEnd"/>
      <w:r w:rsidRPr="00596484">
        <w:rPr>
          <w:b w:val="0"/>
          <w:bCs w:val="0"/>
          <w:color w:val="auto"/>
        </w:rPr>
        <w:t xml:space="preserve"> observed in SOLO-1 represents a major step forward in our ambition to help </w:t>
      </w:r>
      <w:r w:rsidR="00CA5394" w:rsidRPr="00596484">
        <w:rPr>
          <w:b w:val="0"/>
          <w:bCs w:val="0"/>
          <w:color w:val="auto"/>
        </w:rPr>
        <w:t>transform patient outcomes</w:t>
      </w:r>
      <w:r w:rsidRPr="00596484">
        <w:rPr>
          <w:b w:val="0"/>
          <w:bCs w:val="0"/>
          <w:color w:val="auto"/>
        </w:rPr>
        <w:t>.”</w:t>
      </w:r>
    </w:p>
    <w:p w14:paraId="0C551B62" w14:textId="77777777" w:rsidR="00665522" w:rsidRPr="00596484" w:rsidRDefault="00665522" w:rsidP="007158E3">
      <w:pPr>
        <w:pStyle w:val="Boldbodytext"/>
        <w:tabs>
          <w:tab w:val="clear" w:pos="1543"/>
          <w:tab w:val="clear" w:pos="3105"/>
          <w:tab w:val="clear" w:pos="4089"/>
          <w:tab w:val="clear" w:pos="6133"/>
          <w:tab w:val="left" w:pos="0"/>
        </w:tabs>
        <w:spacing w:line="276" w:lineRule="auto"/>
        <w:jc w:val="both"/>
        <w:rPr>
          <w:b w:val="0"/>
          <w:color w:val="auto"/>
        </w:rPr>
      </w:pPr>
    </w:p>
    <w:p w14:paraId="3AB0E7D7" w14:textId="36782DB6" w:rsidR="0097720F" w:rsidRPr="00596484" w:rsidRDefault="00CC5569" w:rsidP="007158E3">
      <w:pPr>
        <w:pStyle w:val="Boldbodytext"/>
        <w:tabs>
          <w:tab w:val="clear" w:pos="1543"/>
          <w:tab w:val="clear" w:pos="3105"/>
          <w:tab w:val="clear" w:pos="4089"/>
          <w:tab w:val="clear" w:pos="6133"/>
          <w:tab w:val="left" w:pos="0"/>
        </w:tabs>
        <w:spacing w:line="276" w:lineRule="auto"/>
        <w:jc w:val="both"/>
        <w:rPr>
          <w:b w:val="0"/>
          <w:color w:val="auto"/>
        </w:rPr>
      </w:pPr>
      <w:r w:rsidRPr="00596484">
        <w:rPr>
          <w:b w:val="0"/>
          <w:color w:val="auto"/>
        </w:rPr>
        <w:t xml:space="preserve">Roy </w:t>
      </w:r>
      <w:proofErr w:type="spellStart"/>
      <w:r w:rsidRPr="00596484">
        <w:rPr>
          <w:b w:val="0"/>
          <w:color w:val="auto"/>
        </w:rPr>
        <w:t>Baynes</w:t>
      </w:r>
      <w:proofErr w:type="spellEnd"/>
      <w:r w:rsidRPr="00596484">
        <w:rPr>
          <w:b w:val="0"/>
          <w:color w:val="auto"/>
        </w:rPr>
        <w:t>, Senior Vice President and Head of Global Clinical Development, Chief Medical Officer, MSD</w:t>
      </w:r>
      <w:r w:rsidRPr="00596484" w:rsidDel="00FA23FA">
        <w:rPr>
          <w:b w:val="0"/>
          <w:color w:val="auto"/>
        </w:rPr>
        <w:t xml:space="preserve"> </w:t>
      </w:r>
      <w:r w:rsidRPr="00596484">
        <w:rPr>
          <w:b w:val="0"/>
          <w:color w:val="auto"/>
        </w:rPr>
        <w:t>Research Laboratories, said</w:t>
      </w:r>
      <w:r w:rsidR="00867CD7" w:rsidRPr="00596484">
        <w:rPr>
          <w:b w:val="0"/>
          <w:color w:val="auto"/>
        </w:rPr>
        <w:t>:</w:t>
      </w:r>
      <w:r w:rsidRPr="00596484">
        <w:rPr>
          <w:b w:val="0"/>
          <w:color w:val="auto"/>
        </w:rPr>
        <w:t xml:space="preserve"> “</w:t>
      </w:r>
      <w:r w:rsidR="0097720F" w:rsidRPr="00596484">
        <w:rPr>
          <w:b w:val="0"/>
          <w:color w:val="auto"/>
        </w:rPr>
        <w:t xml:space="preserve">In SOLO-1, </w:t>
      </w:r>
      <w:proofErr w:type="spellStart"/>
      <w:r w:rsidR="0097720F" w:rsidRPr="00596484">
        <w:rPr>
          <w:b w:val="0"/>
          <w:i/>
          <w:iCs/>
          <w:color w:val="auto"/>
        </w:rPr>
        <w:t>Ly</w:t>
      </w:r>
      <w:r w:rsidR="00C71D30" w:rsidRPr="00596484">
        <w:rPr>
          <w:b w:val="0"/>
          <w:i/>
          <w:iCs/>
          <w:color w:val="auto"/>
        </w:rPr>
        <w:t>n</w:t>
      </w:r>
      <w:r w:rsidR="0097720F" w:rsidRPr="00596484">
        <w:rPr>
          <w:b w:val="0"/>
          <w:i/>
          <w:iCs/>
          <w:color w:val="auto"/>
        </w:rPr>
        <w:t>parza</w:t>
      </w:r>
      <w:proofErr w:type="spellEnd"/>
      <w:r w:rsidR="0097720F" w:rsidRPr="00596484">
        <w:rPr>
          <w:b w:val="0"/>
          <w:color w:val="auto"/>
        </w:rPr>
        <w:t xml:space="preserve"> demonstrated clinically</w:t>
      </w:r>
      <w:r w:rsidR="001C299C" w:rsidRPr="00596484">
        <w:rPr>
          <w:b w:val="0"/>
          <w:color w:val="auto"/>
        </w:rPr>
        <w:t>-</w:t>
      </w:r>
      <w:r w:rsidR="0097720F" w:rsidRPr="00596484">
        <w:rPr>
          <w:b w:val="0"/>
          <w:color w:val="auto"/>
        </w:rPr>
        <w:t>meaningful results with a 70% reduction in the risk of disease progression or death in the first-line maintenance treatment of patients with </w:t>
      </w:r>
      <w:proofErr w:type="spellStart"/>
      <w:r w:rsidR="0097720F" w:rsidRPr="00596484">
        <w:rPr>
          <w:b w:val="0"/>
          <w:color w:val="auto"/>
        </w:rPr>
        <w:t>BRCAm</w:t>
      </w:r>
      <w:proofErr w:type="spellEnd"/>
      <w:r w:rsidR="0097720F" w:rsidRPr="00596484">
        <w:rPr>
          <w:b w:val="0"/>
          <w:color w:val="auto"/>
        </w:rPr>
        <w:t xml:space="preserve"> advanced ovarian cancer. Merck and AstraZeneca are committed to improving outcomes for people with cancer and we will work to bring this new option to women in the EU, many of whom have historically poor outcomes, as quickly as possible.”</w:t>
      </w:r>
    </w:p>
    <w:p w14:paraId="164A4A96" w14:textId="2CD2986B" w:rsidR="003C74F9" w:rsidRPr="00596484" w:rsidRDefault="003C74F9" w:rsidP="007158E3">
      <w:pPr>
        <w:pStyle w:val="Boldbodytext"/>
        <w:tabs>
          <w:tab w:val="clear" w:pos="1543"/>
          <w:tab w:val="clear" w:pos="3105"/>
          <w:tab w:val="clear" w:pos="4089"/>
          <w:tab w:val="clear" w:pos="6133"/>
          <w:tab w:val="left" w:pos="0"/>
        </w:tabs>
        <w:spacing w:line="276" w:lineRule="auto"/>
        <w:jc w:val="both"/>
        <w:rPr>
          <w:b w:val="0"/>
          <w:color w:val="auto"/>
        </w:rPr>
      </w:pPr>
    </w:p>
    <w:p w14:paraId="3B9C7F83" w14:textId="4E50BD8F" w:rsidR="003C74F9" w:rsidRPr="00596484" w:rsidRDefault="003C74F9" w:rsidP="007158E3">
      <w:pPr>
        <w:pStyle w:val="Boldbodytext"/>
        <w:tabs>
          <w:tab w:val="clear" w:pos="1543"/>
          <w:tab w:val="clear" w:pos="3105"/>
          <w:tab w:val="clear" w:pos="4089"/>
          <w:tab w:val="clear" w:pos="6133"/>
          <w:tab w:val="left" w:pos="0"/>
        </w:tabs>
        <w:spacing w:line="276" w:lineRule="auto"/>
        <w:jc w:val="both"/>
        <w:rPr>
          <w:b w:val="0"/>
          <w:bCs w:val="0"/>
          <w:color w:val="auto"/>
        </w:rPr>
      </w:pPr>
      <w:r w:rsidRPr="00596484">
        <w:rPr>
          <w:b w:val="0"/>
          <w:bCs w:val="0"/>
          <w:color w:val="auto"/>
        </w:rPr>
        <w:t>The E</w:t>
      </w:r>
      <w:r w:rsidR="002E639A" w:rsidRPr="00596484">
        <w:rPr>
          <w:b w:val="0"/>
          <w:bCs w:val="0"/>
          <w:color w:val="auto"/>
        </w:rPr>
        <w:t>C</w:t>
      </w:r>
      <w:r w:rsidRPr="00596484">
        <w:rPr>
          <w:b w:val="0"/>
          <w:bCs w:val="0"/>
          <w:color w:val="auto"/>
        </w:rPr>
        <w:t xml:space="preserve"> approval was based on</w:t>
      </w:r>
      <w:r w:rsidRPr="00596484">
        <w:rPr>
          <w:color w:val="auto"/>
        </w:rPr>
        <w:t xml:space="preserve"> </w:t>
      </w:r>
      <w:r w:rsidRPr="00596484">
        <w:rPr>
          <w:b w:val="0"/>
          <w:bCs w:val="0"/>
          <w:color w:val="auto"/>
        </w:rPr>
        <w:t xml:space="preserve">data from the </w:t>
      </w:r>
      <w:r w:rsidR="008237AC" w:rsidRPr="00596484">
        <w:rPr>
          <w:b w:val="0"/>
          <w:bCs w:val="0"/>
          <w:color w:val="auto"/>
        </w:rPr>
        <w:t xml:space="preserve">pivotal </w:t>
      </w:r>
      <w:r w:rsidRPr="00596484">
        <w:rPr>
          <w:b w:val="0"/>
          <w:bCs w:val="0"/>
          <w:color w:val="auto"/>
        </w:rPr>
        <w:t xml:space="preserve">Phase III SOLO-1 trial which tested </w:t>
      </w:r>
      <w:proofErr w:type="spellStart"/>
      <w:r w:rsidRPr="00596484">
        <w:rPr>
          <w:b w:val="0"/>
          <w:bCs w:val="0"/>
          <w:i/>
          <w:iCs/>
          <w:color w:val="auto"/>
        </w:rPr>
        <w:t>Lynparza</w:t>
      </w:r>
      <w:proofErr w:type="spellEnd"/>
      <w:r w:rsidRPr="00596484">
        <w:rPr>
          <w:b w:val="0"/>
          <w:bCs w:val="0"/>
          <w:color w:val="auto"/>
        </w:rPr>
        <w:t xml:space="preserve"> as maintenance monotherapy compared with placebo in patients with </w:t>
      </w:r>
      <w:proofErr w:type="spellStart"/>
      <w:r w:rsidRPr="00596484">
        <w:rPr>
          <w:b w:val="0"/>
          <w:bCs w:val="0"/>
          <w:color w:val="auto"/>
        </w:rPr>
        <w:t>BRCAm</w:t>
      </w:r>
      <w:proofErr w:type="spellEnd"/>
      <w:r w:rsidRPr="00596484">
        <w:rPr>
          <w:b w:val="0"/>
          <w:bCs w:val="0"/>
          <w:color w:val="auto"/>
        </w:rPr>
        <w:t xml:space="preserve"> advanced ovarian cancer following 1st-line platinum-based chemotherapy. Results </w:t>
      </w:r>
      <w:hyperlink r:id="rId12" w:history="1">
        <w:r w:rsidR="00681F2B" w:rsidRPr="00596484">
          <w:rPr>
            <w:rStyle w:val="Hyperlink"/>
            <w:b w:val="0"/>
            <w:bCs w:val="0"/>
          </w:rPr>
          <w:t>announced</w:t>
        </w:r>
      </w:hyperlink>
      <w:r w:rsidR="00681F2B" w:rsidRPr="00596484">
        <w:rPr>
          <w:b w:val="0"/>
          <w:bCs w:val="0"/>
          <w:color w:val="auto"/>
        </w:rPr>
        <w:t xml:space="preserve"> in October 2018</w:t>
      </w:r>
      <w:r w:rsidRPr="00596484">
        <w:rPr>
          <w:b w:val="0"/>
          <w:bCs w:val="0"/>
          <w:color w:val="auto"/>
        </w:rPr>
        <w:t xml:space="preserve"> at 40.7 months of follow-up showed the median time of progression for patients treated with </w:t>
      </w:r>
      <w:proofErr w:type="spellStart"/>
      <w:r w:rsidRPr="00596484">
        <w:rPr>
          <w:b w:val="0"/>
          <w:bCs w:val="0"/>
          <w:i/>
          <w:iCs/>
          <w:color w:val="auto"/>
        </w:rPr>
        <w:t>Lynparza</w:t>
      </w:r>
      <w:proofErr w:type="spellEnd"/>
      <w:r w:rsidRPr="00596484">
        <w:rPr>
          <w:b w:val="0"/>
          <w:bCs w:val="0"/>
          <w:i/>
          <w:iCs/>
          <w:color w:val="auto"/>
        </w:rPr>
        <w:t xml:space="preserve"> </w:t>
      </w:r>
      <w:r w:rsidRPr="00596484">
        <w:rPr>
          <w:b w:val="0"/>
          <w:bCs w:val="0"/>
          <w:color w:val="auto"/>
        </w:rPr>
        <w:t>had not yet been reached vs. 13.8 months for those on placebo (HR 0.30 [95% CI, 0.23-0.41], p&lt;0.001).</w:t>
      </w:r>
    </w:p>
    <w:p w14:paraId="493FFFDA" w14:textId="77777777" w:rsidR="0097720F" w:rsidRPr="00596484" w:rsidRDefault="0097720F" w:rsidP="007158E3">
      <w:pPr>
        <w:pStyle w:val="Boldbodytext"/>
        <w:spacing w:line="276" w:lineRule="auto"/>
        <w:jc w:val="both"/>
        <w:rPr>
          <w:b w:val="0"/>
          <w:color w:val="auto"/>
        </w:rPr>
      </w:pPr>
    </w:p>
    <w:p w14:paraId="2C69B037" w14:textId="5263A3FE" w:rsidR="006E652D" w:rsidRDefault="003C74F9" w:rsidP="007158E3">
      <w:pPr>
        <w:spacing w:line="276" w:lineRule="auto"/>
        <w:jc w:val="both"/>
        <w:rPr>
          <w:szCs w:val="22"/>
        </w:rPr>
      </w:pPr>
      <w:r w:rsidRPr="00F463BF">
        <w:rPr>
          <w:szCs w:val="22"/>
        </w:rPr>
        <w:lastRenderedPageBreak/>
        <w:t>This is</w:t>
      </w:r>
      <w:r w:rsidR="0097720F" w:rsidRPr="00F463BF">
        <w:rPr>
          <w:szCs w:val="22"/>
        </w:rPr>
        <w:t xml:space="preserve"> the </w:t>
      </w:r>
      <w:r w:rsidR="49827755" w:rsidRPr="00F463BF">
        <w:rPr>
          <w:szCs w:val="22"/>
        </w:rPr>
        <w:t xml:space="preserve">third indication for </w:t>
      </w:r>
      <w:proofErr w:type="spellStart"/>
      <w:r w:rsidR="49827755" w:rsidRPr="00596484">
        <w:rPr>
          <w:i/>
          <w:iCs/>
          <w:szCs w:val="22"/>
        </w:rPr>
        <w:t>Lynpar</w:t>
      </w:r>
      <w:r w:rsidR="0097720F" w:rsidRPr="00F463BF">
        <w:rPr>
          <w:i/>
          <w:iCs/>
          <w:szCs w:val="22"/>
        </w:rPr>
        <w:t>za</w:t>
      </w:r>
      <w:proofErr w:type="spellEnd"/>
      <w:r w:rsidR="0097720F" w:rsidRPr="00F463BF" w:rsidDel="00A72C6D">
        <w:rPr>
          <w:szCs w:val="22"/>
        </w:rPr>
        <w:t xml:space="preserve"> </w:t>
      </w:r>
      <w:r w:rsidR="0097720F" w:rsidRPr="00F463BF">
        <w:rPr>
          <w:szCs w:val="22"/>
        </w:rPr>
        <w:t xml:space="preserve">in </w:t>
      </w:r>
      <w:r w:rsidR="37A97CAF" w:rsidRPr="00F463BF">
        <w:rPr>
          <w:szCs w:val="22"/>
        </w:rPr>
        <w:t>the EU</w:t>
      </w:r>
      <w:r w:rsidR="0097720F" w:rsidRPr="00F463BF">
        <w:rPr>
          <w:szCs w:val="22"/>
        </w:rPr>
        <w:t xml:space="preserve">. </w:t>
      </w:r>
      <w:r w:rsidR="0080762C" w:rsidRPr="00596484">
        <w:rPr>
          <w:szCs w:val="22"/>
        </w:rPr>
        <w:t>AstraZeneca and MSD are exploring additional trials in ovarian cancer, including the ongoing Phase III PAOLA-1</w:t>
      </w:r>
      <w:r w:rsidR="001C299C" w:rsidRPr="00596484">
        <w:rPr>
          <w:szCs w:val="22"/>
        </w:rPr>
        <w:t xml:space="preserve"> trial</w:t>
      </w:r>
      <w:r w:rsidR="0080762C" w:rsidRPr="00596484">
        <w:rPr>
          <w:szCs w:val="22"/>
        </w:rPr>
        <w:t>, which is testing</w:t>
      </w:r>
      <w:r w:rsidR="0080762C" w:rsidRPr="00596484">
        <w:rPr>
          <w:i/>
          <w:iCs/>
          <w:szCs w:val="22"/>
        </w:rPr>
        <w:t xml:space="preserve"> </w:t>
      </w:r>
      <w:proofErr w:type="spellStart"/>
      <w:r w:rsidR="00034929" w:rsidRPr="00596484">
        <w:rPr>
          <w:i/>
          <w:iCs/>
          <w:szCs w:val="22"/>
        </w:rPr>
        <w:t>Lynparza</w:t>
      </w:r>
      <w:proofErr w:type="spellEnd"/>
      <w:r w:rsidR="00034929" w:rsidRPr="00596484">
        <w:rPr>
          <w:i/>
          <w:iCs/>
          <w:szCs w:val="22"/>
        </w:rPr>
        <w:t xml:space="preserve"> </w:t>
      </w:r>
      <w:r w:rsidR="0080762C" w:rsidRPr="00596484">
        <w:rPr>
          <w:szCs w:val="22"/>
        </w:rPr>
        <w:t>in combination with bevacizumab as a 1st-line maintenance treatment for women with newly</w:t>
      </w:r>
      <w:r w:rsidR="00867CD7" w:rsidRPr="00596484">
        <w:rPr>
          <w:szCs w:val="22"/>
        </w:rPr>
        <w:t>-</w:t>
      </w:r>
      <w:r w:rsidR="0080762C" w:rsidRPr="00596484">
        <w:rPr>
          <w:szCs w:val="22"/>
        </w:rPr>
        <w:t>diagnosed</w:t>
      </w:r>
      <w:r w:rsidR="001C299C" w:rsidRPr="00596484">
        <w:rPr>
          <w:szCs w:val="22"/>
        </w:rPr>
        <w:t>,</w:t>
      </w:r>
      <w:r w:rsidR="0080762C" w:rsidRPr="00596484">
        <w:rPr>
          <w:szCs w:val="22"/>
        </w:rPr>
        <w:t xml:space="preserve"> advanced</w:t>
      </w:r>
      <w:r w:rsidR="001C299C" w:rsidRPr="00596484">
        <w:rPr>
          <w:szCs w:val="22"/>
        </w:rPr>
        <w:t xml:space="preserve">, </w:t>
      </w:r>
      <w:r w:rsidR="0080762C" w:rsidRPr="00596484">
        <w:rPr>
          <w:szCs w:val="22"/>
        </w:rPr>
        <w:t>stage IIIB-IV high grade serous or endometrioid ovarian cancer, regardless of BRCA status</w:t>
      </w:r>
      <w:r w:rsidR="00D62660" w:rsidRPr="00596484">
        <w:rPr>
          <w:szCs w:val="22"/>
        </w:rPr>
        <w:t>.</w:t>
      </w:r>
    </w:p>
    <w:p w14:paraId="53972D66" w14:textId="69B591FF" w:rsidR="00FC3C72" w:rsidRDefault="00FC3C72" w:rsidP="007158E3">
      <w:pPr>
        <w:spacing w:line="276" w:lineRule="auto"/>
        <w:jc w:val="both"/>
        <w:rPr>
          <w:bCs/>
          <w:color w:val="000000" w:themeColor="text1"/>
          <w:szCs w:val="22"/>
        </w:rPr>
      </w:pPr>
    </w:p>
    <w:p w14:paraId="161C21F4" w14:textId="0B1A723B" w:rsidR="00FC3C72" w:rsidRPr="00FC3C72" w:rsidRDefault="00FC3C72" w:rsidP="00FC3C72">
      <w:pPr>
        <w:spacing w:line="276" w:lineRule="auto"/>
        <w:rPr>
          <w:szCs w:val="22"/>
        </w:rPr>
      </w:pPr>
      <w:r w:rsidRPr="00FC3C72">
        <w:rPr>
          <w:szCs w:val="22"/>
        </w:rPr>
        <w:t xml:space="preserve">Elisabeth </w:t>
      </w:r>
      <w:proofErr w:type="spellStart"/>
      <w:r w:rsidRPr="00FC3C72">
        <w:rPr>
          <w:szCs w:val="22"/>
        </w:rPr>
        <w:t>Åvall</w:t>
      </w:r>
      <w:proofErr w:type="spellEnd"/>
      <w:r w:rsidRPr="00FC3C72">
        <w:rPr>
          <w:szCs w:val="22"/>
        </w:rPr>
        <w:t xml:space="preserve"> Lundqvist, Professor in clinical oncology at the Department of Oncology and Department of Clinical and Experimental Medicine at Linköping University, Linköping, Sweden comments on the SOLO 1 results:</w:t>
      </w:r>
      <w:r w:rsidRPr="00FC3C72">
        <w:rPr>
          <w:szCs w:val="22"/>
        </w:rPr>
        <w:t xml:space="preserve"> </w:t>
      </w:r>
      <w:r w:rsidRPr="00FC3C72">
        <w:rPr>
          <w:szCs w:val="22"/>
        </w:rPr>
        <w:t xml:space="preserve">The results from SOLO-1 will change standard of care for women with newly diagnosed advanced ovarian cancer with BRCA mutation. The effect of maintenance treatment with </w:t>
      </w:r>
      <w:proofErr w:type="spellStart"/>
      <w:r w:rsidRPr="00FC3C72">
        <w:rPr>
          <w:szCs w:val="22"/>
        </w:rPr>
        <w:t>Lynparza</w:t>
      </w:r>
      <w:proofErr w:type="spellEnd"/>
      <w:r w:rsidRPr="00FC3C72">
        <w:rPr>
          <w:szCs w:val="22"/>
        </w:rPr>
        <w:t xml:space="preserve"> has sustained after cessation, the median progression-free survival has not yet been reached for those treated with </w:t>
      </w:r>
      <w:proofErr w:type="spellStart"/>
      <w:r w:rsidRPr="00FC3C72">
        <w:rPr>
          <w:szCs w:val="22"/>
        </w:rPr>
        <w:t>Lynparza</w:t>
      </w:r>
      <w:proofErr w:type="spellEnd"/>
      <w:r w:rsidRPr="00FC3C72">
        <w:rPr>
          <w:szCs w:val="22"/>
        </w:rPr>
        <w:t xml:space="preserve">, after a median follow-up time of 41 months. The SOLO-1 results are important and positive for women who in general have a very high risk of recurrence within the first 3 years. The results also underscore the need to determine BRCA status at diagnosis. </w:t>
      </w:r>
      <w:bookmarkStart w:id="0" w:name="_GoBack"/>
      <w:bookmarkEnd w:id="0"/>
    </w:p>
    <w:p w14:paraId="75AECBB6" w14:textId="77777777" w:rsidR="00FC3C72" w:rsidRPr="00FC3C72" w:rsidRDefault="00FC3C72" w:rsidP="00FC3C72">
      <w:pPr>
        <w:spacing w:line="276" w:lineRule="auto"/>
        <w:jc w:val="both"/>
        <w:rPr>
          <w:szCs w:val="22"/>
        </w:rPr>
      </w:pPr>
    </w:p>
    <w:p w14:paraId="424CCC5A" w14:textId="0C4CF5F0" w:rsidR="00496830" w:rsidRPr="00596484" w:rsidRDefault="00496830" w:rsidP="00F77848">
      <w:pPr>
        <w:tabs>
          <w:tab w:val="left" w:pos="810"/>
          <w:tab w:val="left" w:pos="3105"/>
          <w:tab w:val="left" w:pos="4089"/>
          <w:tab w:val="left" w:pos="6133"/>
        </w:tabs>
        <w:suppressAutoHyphens/>
        <w:autoSpaceDE w:val="0"/>
        <w:autoSpaceDN w:val="0"/>
        <w:adjustRightInd w:val="0"/>
        <w:spacing w:line="276" w:lineRule="auto"/>
        <w:jc w:val="both"/>
        <w:textAlignment w:val="center"/>
        <w:rPr>
          <w:rFonts w:cs="Arial"/>
          <w:color w:val="000000" w:themeColor="text1"/>
          <w:szCs w:val="22"/>
        </w:rPr>
      </w:pPr>
    </w:p>
    <w:p w14:paraId="62ED63FF" w14:textId="274CF66D" w:rsidR="00477235" w:rsidRPr="00F463BF" w:rsidRDefault="00477235" w:rsidP="007158E3">
      <w:pPr>
        <w:spacing w:line="276" w:lineRule="auto"/>
        <w:jc w:val="both"/>
        <w:rPr>
          <w:rFonts w:eastAsia="Arial" w:cs="Arial"/>
          <w:b/>
          <w:bCs/>
          <w:szCs w:val="22"/>
        </w:rPr>
      </w:pPr>
      <w:r w:rsidRPr="00F463BF">
        <w:rPr>
          <w:rFonts w:eastAsia="Arial" w:cs="Arial"/>
          <w:b/>
          <w:bCs/>
          <w:szCs w:val="22"/>
        </w:rPr>
        <w:t>About SOLO-1</w:t>
      </w:r>
    </w:p>
    <w:p w14:paraId="402F8F9D" w14:textId="39EC8E02" w:rsidR="000E1E05" w:rsidRPr="00F463BF" w:rsidRDefault="00477235">
      <w:pPr>
        <w:tabs>
          <w:tab w:val="left" w:pos="810"/>
          <w:tab w:val="left" w:pos="3105"/>
          <w:tab w:val="left" w:pos="4089"/>
          <w:tab w:val="left" w:pos="6133"/>
        </w:tabs>
        <w:suppressAutoHyphens/>
        <w:autoSpaceDE w:val="0"/>
        <w:autoSpaceDN w:val="0"/>
        <w:adjustRightInd w:val="0"/>
        <w:spacing w:line="276" w:lineRule="auto"/>
        <w:jc w:val="both"/>
        <w:textAlignment w:val="center"/>
        <w:rPr>
          <w:rFonts w:cs="Arial"/>
          <w:szCs w:val="22"/>
        </w:rPr>
      </w:pPr>
      <w:r w:rsidRPr="00596484">
        <w:rPr>
          <w:rFonts w:cs="Arial"/>
          <w:szCs w:val="22"/>
        </w:rPr>
        <w:t xml:space="preserve">SOLO-1 was a Phase </w:t>
      </w:r>
      <w:r w:rsidR="003221B3" w:rsidRPr="00596484">
        <w:rPr>
          <w:rFonts w:cs="Arial"/>
          <w:szCs w:val="22"/>
        </w:rPr>
        <w:t>III</w:t>
      </w:r>
      <w:r w:rsidRPr="00596484">
        <w:rPr>
          <w:rFonts w:cs="Arial"/>
          <w:szCs w:val="22"/>
        </w:rPr>
        <w:t>, randomi</w:t>
      </w:r>
      <w:r w:rsidR="00DB393C" w:rsidRPr="00596484">
        <w:rPr>
          <w:rFonts w:cs="Arial"/>
          <w:szCs w:val="22"/>
        </w:rPr>
        <w:t>s</w:t>
      </w:r>
      <w:r w:rsidRPr="00596484">
        <w:rPr>
          <w:rFonts w:cs="Arial"/>
          <w:szCs w:val="22"/>
        </w:rPr>
        <w:t xml:space="preserve">ed, double-blinded, placebo-controlled, multi-centre trial to evaluate the efficacy and safety of </w:t>
      </w:r>
      <w:proofErr w:type="spellStart"/>
      <w:r w:rsidRPr="00F463BF">
        <w:rPr>
          <w:rFonts w:cs="Arial"/>
          <w:i/>
          <w:iCs/>
          <w:szCs w:val="22"/>
        </w:rPr>
        <w:t>Lynparza</w:t>
      </w:r>
      <w:proofErr w:type="spellEnd"/>
      <w:r w:rsidR="000756C3" w:rsidRPr="00596484">
        <w:rPr>
          <w:rFonts w:cs="Arial"/>
          <w:szCs w:val="22"/>
        </w:rPr>
        <w:t xml:space="preserve"> </w:t>
      </w:r>
      <w:r w:rsidRPr="00596484">
        <w:rPr>
          <w:rFonts w:cs="Arial"/>
          <w:szCs w:val="22"/>
        </w:rPr>
        <w:t xml:space="preserve">tablets (300mg twice daily) as </w:t>
      </w:r>
      <w:r w:rsidR="009D6652" w:rsidRPr="00596484">
        <w:rPr>
          <w:rFonts w:cs="Arial"/>
          <w:szCs w:val="22"/>
        </w:rPr>
        <w:t xml:space="preserve">a </w:t>
      </w:r>
      <w:r w:rsidRPr="00596484">
        <w:rPr>
          <w:rFonts w:cs="Arial"/>
          <w:szCs w:val="22"/>
        </w:rPr>
        <w:t xml:space="preserve">maintenance monotherapy compared with placebo in patients with </w:t>
      </w:r>
      <w:proofErr w:type="spellStart"/>
      <w:r w:rsidRPr="00596484">
        <w:rPr>
          <w:rFonts w:cs="Arial"/>
          <w:szCs w:val="22"/>
        </w:rPr>
        <w:t>BRCAm</w:t>
      </w:r>
      <w:proofErr w:type="spellEnd"/>
      <w:r w:rsidRPr="00596484">
        <w:rPr>
          <w:rFonts w:cs="Arial"/>
          <w:szCs w:val="22"/>
        </w:rPr>
        <w:t xml:space="preserve"> advanced ovarian cancer following first-line platinum-based chemotherapy. The trial randomi</w:t>
      </w:r>
      <w:r w:rsidR="009B6E6D" w:rsidRPr="00596484">
        <w:rPr>
          <w:rFonts w:cs="Arial"/>
          <w:szCs w:val="22"/>
        </w:rPr>
        <w:t>s</w:t>
      </w:r>
      <w:r w:rsidRPr="00596484">
        <w:rPr>
          <w:rFonts w:cs="Arial"/>
          <w:szCs w:val="22"/>
        </w:rPr>
        <w:t xml:space="preserve">ed 391 patients with a deleterious or suspected deleterious germline or somatic BRCA1 or BRCA2 mutation who were in clinical complete or partial response following platinum-based chemotherapy. </w:t>
      </w:r>
    </w:p>
    <w:p w14:paraId="56F2476C" w14:textId="77777777" w:rsidR="000E1E05" w:rsidRPr="00596484" w:rsidRDefault="000E1E05">
      <w:pPr>
        <w:tabs>
          <w:tab w:val="left" w:pos="810"/>
          <w:tab w:val="left" w:pos="3105"/>
          <w:tab w:val="left" w:pos="4089"/>
          <w:tab w:val="left" w:pos="6133"/>
        </w:tabs>
        <w:suppressAutoHyphens/>
        <w:autoSpaceDE w:val="0"/>
        <w:autoSpaceDN w:val="0"/>
        <w:adjustRightInd w:val="0"/>
        <w:spacing w:line="276" w:lineRule="auto"/>
        <w:jc w:val="both"/>
        <w:textAlignment w:val="center"/>
        <w:rPr>
          <w:rFonts w:cs="Arial"/>
          <w:szCs w:val="22"/>
        </w:rPr>
      </w:pPr>
    </w:p>
    <w:p w14:paraId="48222299" w14:textId="7CB21591" w:rsidR="00477235" w:rsidRPr="00F463BF" w:rsidRDefault="00477235">
      <w:pPr>
        <w:tabs>
          <w:tab w:val="left" w:pos="810"/>
          <w:tab w:val="left" w:pos="3105"/>
          <w:tab w:val="left" w:pos="4089"/>
          <w:tab w:val="left" w:pos="6133"/>
        </w:tabs>
        <w:suppressAutoHyphens/>
        <w:autoSpaceDE w:val="0"/>
        <w:autoSpaceDN w:val="0"/>
        <w:adjustRightInd w:val="0"/>
        <w:spacing w:line="276" w:lineRule="auto"/>
        <w:jc w:val="both"/>
        <w:textAlignment w:val="center"/>
        <w:rPr>
          <w:rFonts w:cs="Arial"/>
          <w:szCs w:val="22"/>
        </w:rPr>
      </w:pPr>
      <w:r w:rsidRPr="00596484">
        <w:rPr>
          <w:rFonts w:cs="Arial"/>
          <w:szCs w:val="22"/>
        </w:rPr>
        <w:t>Patients were randomi</w:t>
      </w:r>
      <w:r w:rsidR="00DB393C" w:rsidRPr="00596484">
        <w:rPr>
          <w:rFonts w:cs="Arial"/>
          <w:szCs w:val="22"/>
        </w:rPr>
        <w:t>s</w:t>
      </w:r>
      <w:r w:rsidRPr="00596484">
        <w:rPr>
          <w:rFonts w:cs="Arial"/>
          <w:szCs w:val="22"/>
        </w:rPr>
        <w:t xml:space="preserve">ed (2:1) to receive </w:t>
      </w:r>
      <w:proofErr w:type="spellStart"/>
      <w:r w:rsidR="005221F0" w:rsidRPr="00596484">
        <w:rPr>
          <w:rFonts w:cs="Arial"/>
          <w:i/>
          <w:iCs/>
          <w:szCs w:val="22"/>
        </w:rPr>
        <w:t>Lynparza</w:t>
      </w:r>
      <w:proofErr w:type="spellEnd"/>
      <w:r w:rsidR="00741F4C" w:rsidRPr="00596484">
        <w:rPr>
          <w:rFonts w:cs="Arial"/>
          <w:i/>
          <w:iCs/>
          <w:szCs w:val="22"/>
        </w:rPr>
        <w:t xml:space="preserve"> </w:t>
      </w:r>
      <w:r w:rsidRPr="00596484">
        <w:rPr>
          <w:rFonts w:cs="Arial"/>
          <w:szCs w:val="22"/>
        </w:rPr>
        <w:t>or placebo for up to two years or until disease progression. Patients who had a partial response at two years were permitted to stay on therapy at the investigator’s discretion. The primary endpoint was progression-free survival (PFS) and key secondary endpoints included time to second disease progression or death, time to first subsequent treatment and overall survival.</w:t>
      </w:r>
    </w:p>
    <w:p w14:paraId="6096362D" w14:textId="77777777" w:rsidR="00477235" w:rsidRPr="00596484" w:rsidRDefault="00477235">
      <w:pPr>
        <w:tabs>
          <w:tab w:val="left" w:pos="810"/>
          <w:tab w:val="left" w:pos="3105"/>
          <w:tab w:val="left" w:pos="4089"/>
          <w:tab w:val="left" w:pos="6133"/>
        </w:tabs>
        <w:suppressAutoHyphens/>
        <w:autoSpaceDE w:val="0"/>
        <w:autoSpaceDN w:val="0"/>
        <w:adjustRightInd w:val="0"/>
        <w:spacing w:line="276" w:lineRule="auto"/>
        <w:jc w:val="both"/>
        <w:textAlignment w:val="center"/>
        <w:rPr>
          <w:rFonts w:cs="Arial"/>
          <w:szCs w:val="22"/>
        </w:rPr>
      </w:pPr>
      <w:r w:rsidRPr="00596484">
        <w:rPr>
          <w:rFonts w:cs="Arial"/>
          <w:szCs w:val="22"/>
        </w:rPr>
        <w:tab/>
      </w:r>
    </w:p>
    <w:p w14:paraId="7DA93A14" w14:textId="2DBDFE48" w:rsidR="00477235" w:rsidRPr="00596484" w:rsidRDefault="00477235">
      <w:pPr>
        <w:spacing w:line="276" w:lineRule="auto"/>
        <w:rPr>
          <w:rFonts w:cs="Arial"/>
          <w:i/>
          <w:iCs/>
          <w:color w:val="000000" w:themeColor="text1"/>
          <w:szCs w:val="22"/>
        </w:rPr>
      </w:pPr>
      <w:r w:rsidRPr="00596484">
        <w:rPr>
          <w:rFonts w:cs="Arial"/>
          <w:szCs w:val="22"/>
        </w:rPr>
        <w:t xml:space="preserve">The data were presented on </w:t>
      </w:r>
      <w:r w:rsidR="000E1E05" w:rsidRPr="00596484">
        <w:rPr>
          <w:rFonts w:cs="Arial"/>
          <w:szCs w:val="22"/>
        </w:rPr>
        <w:t>21 October</w:t>
      </w:r>
      <w:r w:rsidR="008837B1" w:rsidRPr="00596484">
        <w:rPr>
          <w:rFonts w:cs="Arial"/>
          <w:szCs w:val="22"/>
        </w:rPr>
        <w:t xml:space="preserve"> 2018</w:t>
      </w:r>
      <w:r w:rsidRPr="00596484">
        <w:rPr>
          <w:rFonts w:cs="Arial"/>
          <w:szCs w:val="22"/>
        </w:rPr>
        <w:t xml:space="preserve">, at the Presidential Symposium of the ESMO </w:t>
      </w:r>
      <w:r w:rsidR="00F463BF" w:rsidRPr="00596484">
        <w:rPr>
          <w:rFonts w:cs="Arial"/>
          <w:szCs w:val="22"/>
        </w:rPr>
        <w:t xml:space="preserve">(European Society for Medical Oncology) </w:t>
      </w:r>
      <w:r w:rsidR="009D1F01">
        <w:rPr>
          <w:rFonts w:cs="Arial"/>
          <w:szCs w:val="22"/>
        </w:rPr>
        <w:t>2</w:t>
      </w:r>
      <w:r w:rsidRPr="00596484">
        <w:rPr>
          <w:rFonts w:cs="Arial"/>
          <w:szCs w:val="22"/>
        </w:rPr>
        <w:t xml:space="preserve">018 Congress in Munich, Germany and published simultaneously online </w:t>
      </w:r>
      <w:r w:rsidRPr="00F65D5A">
        <w:rPr>
          <w:rFonts w:cs="Arial"/>
          <w:color w:val="000000"/>
          <w:szCs w:val="22"/>
        </w:rPr>
        <w:t xml:space="preserve">in </w:t>
      </w:r>
      <w:hyperlink r:id="rId13" w:history="1">
        <w:r w:rsidR="00915D14" w:rsidRPr="00F65D5A">
          <w:rPr>
            <w:rStyle w:val="Hyperlink"/>
            <w:rFonts w:cs="Arial"/>
            <w:i/>
            <w:iCs/>
            <w:szCs w:val="22"/>
          </w:rPr>
          <w:t>The New England Journal of Medicine</w:t>
        </w:r>
        <w:r w:rsidR="00915D14" w:rsidRPr="00F77848">
          <w:rPr>
            <w:rStyle w:val="Hyperlink"/>
            <w:rFonts w:cs="Arial"/>
            <w:i/>
            <w:iCs/>
            <w:color w:val="auto"/>
            <w:szCs w:val="22"/>
            <w:u w:val="none"/>
          </w:rPr>
          <w:t>.</w:t>
        </w:r>
      </w:hyperlink>
    </w:p>
    <w:p w14:paraId="60261A62" w14:textId="7638C204" w:rsidR="00477235" w:rsidRPr="00F65D5A" w:rsidRDefault="00477235" w:rsidP="00596484">
      <w:pPr>
        <w:jc w:val="both"/>
        <w:rPr>
          <w:rFonts w:eastAsia="Arial" w:cs="Arial"/>
          <w:b/>
          <w:bCs/>
          <w:szCs w:val="22"/>
        </w:rPr>
      </w:pPr>
    </w:p>
    <w:p w14:paraId="1202D16B" w14:textId="77777777" w:rsidR="006524B3" w:rsidRPr="00F65D5A" w:rsidRDefault="006524B3" w:rsidP="00596484">
      <w:pPr>
        <w:jc w:val="both"/>
        <w:rPr>
          <w:rFonts w:eastAsia="Arial" w:cs="Arial"/>
          <w:b/>
          <w:szCs w:val="22"/>
        </w:rPr>
      </w:pPr>
      <w:r w:rsidRPr="00F65D5A">
        <w:rPr>
          <w:rFonts w:eastAsia="Arial" w:cs="Arial"/>
          <w:b/>
          <w:szCs w:val="22"/>
        </w:rPr>
        <w:t xml:space="preserve">Summary of </w:t>
      </w:r>
      <w:proofErr w:type="spellStart"/>
      <w:r w:rsidRPr="00F65D5A">
        <w:rPr>
          <w:rFonts w:eastAsia="Arial" w:cs="Arial"/>
          <w:b/>
          <w:szCs w:val="22"/>
        </w:rPr>
        <w:t>PFS</w:t>
      </w:r>
      <w:r w:rsidRPr="00F65D5A">
        <w:rPr>
          <w:rFonts w:eastAsia="Arial" w:cs="Arial"/>
          <w:szCs w:val="22"/>
          <w:vertAlign w:val="superscript"/>
        </w:rPr>
        <w:t>i,ii</w:t>
      </w:r>
      <w:proofErr w:type="spellEnd"/>
    </w:p>
    <w:tbl>
      <w:tblPr>
        <w:tblStyle w:val="TableGrid"/>
        <w:tblW w:w="9058" w:type="dxa"/>
        <w:tblLook w:val="04A0" w:firstRow="1" w:lastRow="0" w:firstColumn="1" w:lastColumn="0" w:noHBand="0" w:noVBand="1"/>
      </w:tblPr>
      <w:tblGrid>
        <w:gridCol w:w="3702"/>
        <w:gridCol w:w="2712"/>
        <w:gridCol w:w="2644"/>
      </w:tblGrid>
      <w:tr w:rsidR="006524B3" w:rsidRPr="00F65D5A" w14:paraId="5CC194CA" w14:textId="77777777" w:rsidTr="00F77848">
        <w:trPr>
          <w:trHeight w:val="327"/>
        </w:trPr>
        <w:tc>
          <w:tcPr>
            <w:tcW w:w="3702" w:type="dxa"/>
          </w:tcPr>
          <w:p w14:paraId="1128B02B" w14:textId="77777777" w:rsidR="006524B3" w:rsidRPr="00F65D5A" w:rsidRDefault="006524B3" w:rsidP="000B15BF">
            <w:pPr>
              <w:jc w:val="both"/>
              <w:rPr>
                <w:rFonts w:eastAsia="Arial" w:cs="Arial"/>
                <w:szCs w:val="22"/>
              </w:rPr>
            </w:pPr>
          </w:p>
        </w:tc>
        <w:tc>
          <w:tcPr>
            <w:tcW w:w="2712" w:type="dxa"/>
          </w:tcPr>
          <w:p w14:paraId="60FB213C" w14:textId="77777777" w:rsidR="006524B3" w:rsidRPr="00F65D5A" w:rsidRDefault="006524B3" w:rsidP="000B15BF">
            <w:pPr>
              <w:jc w:val="center"/>
              <w:rPr>
                <w:rFonts w:eastAsia="Arial" w:cs="Arial"/>
                <w:szCs w:val="22"/>
              </w:rPr>
            </w:pPr>
            <w:proofErr w:type="spellStart"/>
            <w:r w:rsidRPr="00F65D5A">
              <w:rPr>
                <w:rFonts w:cs="Arial"/>
                <w:i/>
                <w:szCs w:val="22"/>
              </w:rPr>
              <w:t>Lynparza</w:t>
            </w:r>
            <w:proofErr w:type="spellEnd"/>
            <w:r w:rsidRPr="00F65D5A">
              <w:rPr>
                <w:rFonts w:cs="Arial"/>
                <w:szCs w:val="22"/>
              </w:rPr>
              <w:t xml:space="preserve"> (n=260)</w:t>
            </w:r>
          </w:p>
        </w:tc>
        <w:tc>
          <w:tcPr>
            <w:tcW w:w="2644" w:type="dxa"/>
          </w:tcPr>
          <w:p w14:paraId="1D36DCCE" w14:textId="77777777" w:rsidR="006524B3" w:rsidRPr="00F65D5A" w:rsidRDefault="006524B3" w:rsidP="000B15BF">
            <w:pPr>
              <w:jc w:val="center"/>
              <w:rPr>
                <w:rFonts w:eastAsia="Arial" w:cs="Arial"/>
                <w:szCs w:val="22"/>
              </w:rPr>
            </w:pPr>
            <w:r w:rsidRPr="00F65D5A">
              <w:rPr>
                <w:rFonts w:cs="Arial"/>
                <w:szCs w:val="22"/>
              </w:rPr>
              <w:t>Placebo (n=131)</w:t>
            </w:r>
          </w:p>
        </w:tc>
      </w:tr>
      <w:tr w:rsidR="006524B3" w:rsidRPr="00F65D5A" w14:paraId="6A9B00B5" w14:textId="77777777" w:rsidTr="00F77848">
        <w:trPr>
          <w:trHeight w:val="309"/>
        </w:trPr>
        <w:tc>
          <w:tcPr>
            <w:tcW w:w="3702" w:type="dxa"/>
          </w:tcPr>
          <w:p w14:paraId="0975EDF1" w14:textId="77777777" w:rsidR="006524B3" w:rsidRPr="00F65D5A" w:rsidRDefault="006524B3" w:rsidP="000B15BF">
            <w:pPr>
              <w:jc w:val="both"/>
              <w:rPr>
                <w:rFonts w:eastAsia="Arial" w:cs="Arial"/>
                <w:szCs w:val="22"/>
              </w:rPr>
            </w:pPr>
            <w:r w:rsidRPr="00F65D5A">
              <w:rPr>
                <w:rFonts w:eastAsia="Arial" w:cs="Arial"/>
                <w:szCs w:val="22"/>
              </w:rPr>
              <w:t>Number of patients with event (%)</w:t>
            </w:r>
            <w:r w:rsidRPr="00F65D5A">
              <w:rPr>
                <w:rFonts w:eastAsia="Arial" w:cs="Arial"/>
                <w:b/>
                <w:bCs/>
                <w:szCs w:val="22"/>
                <w:vertAlign w:val="superscript"/>
              </w:rPr>
              <w:t>iii</w:t>
            </w:r>
          </w:p>
        </w:tc>
        <w:tc>
          <w:tcPr>
            <w:tcW w:w="2712" w:type="dxa"/>
          </w:tcPr>
          <w:p w14:paraId="0C35E0E4" w14:textId="77777777" w:rsidR="006524B3" w:rsidRPr="00F65D5A" w:rsidRDefault="006524B3" w:rsidP="000B15BF">
            <w:pPr>
              <w:jc w:val="center"/>
              <w:rPr>
                <w:rFonts w:eastAsia="Arial" w:cs="Arial"/>
                <w:szCs w:val="22"/>
              </w:rPr>
            </w:pPr>
            <w:r w:rsidRPr="00F65D5A">
              <w:rPr>
                <w:rFonts w:eastAsia="Arial" w:cs="Arial"/>
                <w:szCs w:val="22"/>
              </w:rPr>
              <w:t>102 (39)</w:t>
            </w:r>
          </w:p>
        </w:tc>
        <w:tc>
          <w:tcPr>
            <w:tcW w:w="2644" w:type="dxa"/>
          </w:tcPr>
          <w:p w14:paraId="0A012FFF" w14:textId="77777777" w:rsidR="006524B3" w:rsidRPr="00F65D5A" w:rsidRDefault="006524B3" w:rsidP="000B15BF">
            <w:pPr>
              <w:jc w:val="center"/>
              <w:rPr>
                <w:rFonts w:eastAsia="Arial" w:cs="Arial"/>
                <w:szCs w:val="22"/>
              </w:rPr>
            </w:pPr>
            <w:r w:rsidRPr="00F65D5A">
              <w:rPr>
                <w:rFonts w:eastAsia="Arial" w:cs="Arial"/>
                <w:szCs w:val="22"/>
              </w:rPr>
              <w:t>96 (73)</w:t>
            </w:r>
          </w:p>
        </w:tc>
      </w:tr>
      <w:tr w:rsidR="006524B3" w:rsidRPr="00F65D5A" w14:paraId="2CFC0016" w14:textId="77777777" w:rsidTr="00F77848">
        <w:trPr>
          <w:trHeight w:val="327"/>
        </w:trPr>
        <w:tc>
          <w:tcPr>
            <w:tcW w:w="3702" w:type="dxa"/>
          </w:tcPr>
          <w:p w14:paraId="57770D00" w14:textId="77777777" w:rsidR="006524B3" w:rsidRPr="00F65D5A" w:rsidRDefault="006524B3" w:rsidP="000B15BF">
            <w:pPr>
              <w:jc w:val="both"/>
              <w:rPr>
                <w:rFonts w:eastAsia="Arial" w:cs="Arial"/>
                <w:szCs w:val="22"/>
              </w:rPr>
            </w:pPr>
            <w:r w:rsidRPr="00F65D5A">
              <w:rPr>
                <w:rFonts w:eastAsia="Arial" w:cs="Arial"/>
                <w:szCs w:val="22"/>
              </w:rPr>
              <w:t>Median PFS (in months)</w:t>
            </w:r>
          </w:p>
        </w:tc>
        <w:tc>
          <w:tcPr>
            <w:tcW w:w="2712" w:type="dxa"/>
          </w:tcPr>
          <w:p w14:paraId="0D3A8C66" w14:textId="77777777" w:rsidR="006524B3" w:rsidRPr="00F65D5A" w:rsidRDefault="006524B3" w:rsidP="000B15BF">
            <w:pPr>
              <w:jc w:val="center"/>
              <w:rPr>
                <w:rFonts w:eastAsia="Arial" w:cs="Arial"/>
                <w:szCs w:val="22"/>
              </w:rPr>
            </w:pPr>
            <w:r w:rsidRPr="00F65D5A">
              <w:rPr>
                <w:rFonts w:eastAsia="Arial" w:cs="Arial"/>
                <w:szCs w:val="22"/>
              </w:rPr>
              <w:t>Not reached</w:t>
            </w:r>
          </w:p>
        </w:tc>
        <w:tc>
          <w:tcPr>
            <w:tcW w:w="2644" w:type="dxa"/>
          </w:tcPr>
          <w:p w14:paraId="1A28DEE7" w14:textId="77777777" w:rsidR="006524B3" w:rsidRPr="00F65D5A" w:rsidRDefault="006524B3" w:rsidP="000B15BF">
            <w:pPr>
              <w:jc w:val="center"/>
              <w:rPr>
                <w:rFonts w:eastAsia="Arial" w:cs="Arial"/>
                <w:szCs w:val="22"/>
              </w:rPr>
            </w:pPr>
            <w:r w:rsidRPr="00F65D5A">
              <w:rPr>
                <w:rFonts w:eastAsia="Arial" w:cs="Arial"/>
                <w:szCs w:val="22"/>
              </w:rPr>
              <w:t>13.8</w:t>
            </w:r>
          </w:p>
        </w:tc>
      </w:tr>
      <w:tr w:rsidR="006524B3" w:rsidRPr="00F65D5A" w14:paraId="33335018" w14:textId="77777777" w:rsidTr="00F77848">
        <w:trPr>
          <w:trHeight w:val="90"/>
        </w:trPr>
        <w:tc>
          <w:tcPr>
            <w:tcW w:w="3702" w:type="dxa"/>
          </w:tcPr>
          <w:p w14:paraId="5A9C205C" w14:textId="77777777" w:rsidR="006524B3" w:rsidRPr="00F65D5A" w:rsidRDefault="006524B3" w:rsidP="000B15BF">
            <w:pPr>
              <w:jc w:val="both"/>
              <w:rPr>
                <w:rFonts w:eastAsia="Arial" w:cs="Arial"/>
                <w:szCs w:val="22"/>
              </w:rPr>
            </w:pPr>
            <w:r w:rsidRPr="00F65D5A">
              <w:rPr>
                <w:rFonts w:eastAsia="Arial" w:cs="Arial"/>
                <w:szCs w:val="22"/>
              </w:rPr>
              <w:t>Hazard ratio (95% CI)</w:t>
            </w:r>
          </w:p>
        </w:tc>
        <w:tc>
          <w:tcPr>
            <w:tcW w:w="5356" w:type="dxa"/>
            <w:gridSpan w:val="2"/>
          </w:tcPr>
          <w:p w14:paraId="3292577E" w14:textId="77777777" w:rsidR="006524B3" w:rsidRPr="00F65D5A" w:rsidRDefault="006524B3" w:rsidP="000B15BF">
            <w:pPr>
              <w:jc w:val="center"/>
              <w:rPr>
                <w:rFonts w:eastAsia="Arial" w:cs="Arial"/>
                <w:szCs w:val="22"/>
              </w:rPr>
            </w:pPr>
            <w:r w:rsidRPr="00F65D5A">
              <w:rPr>
                <w:rFonts w:eastAsia="Arial" w:cs="Arial"/>
                <w:szCs w:val="22"/>
              </w:rPr>
              <w:t>0.30 (0.23-0.41)</w:t>
            </w:r>
          </w:p>
        </w:tc>
      </w:tr>
      <w:tr w:rsidR="006524B3" w:rsidRPr="00F65D5A" w14:paraId="12505307" w14:textId="77777777" w:rsidTr="00F77848">
        <w:trPr>
          <w:trHeight w:val="309"/>
        </w:trPr>
        <w:tc>
          <w:tcPr>
            <w:tcW w:w="3702" w:type="dxa"/>
          </w:tcPr>
          <w:p w14:paraId="529481F5" w14:textId="77777777" w:rsidR="006524B3" w:rsidRPr="00F65D5A" w:rsidRDefault="006524B3" w:rsidP="000B15BF">
            <w:pPr>
              <w:jc w:val="both"/>
              <w:rPr>
                <w:rFonts w:eastAsia="Arial" w:cs="Arial"/>
                <w:szCs w:val="22"/>
              </w:rPr>
            </w:pPr>
            <w:r w:rsidRPr="00F65D5A">
              <w:rPr>
                <w:rFonts w:eastAsia="Arial" w:cs="Arial"/>
                <w:szCs w:val="22"/>
              </w:rPr>
              <w:t>P-value</w:t>
            </w:r>
          </w:p>
        </w:tc>
        <w:tc>
          <w:tcPr>
            <w:tcW w:w="5356" w:type="dxa"/>
            <w:gridSpan w:val="2"/>
          </w:tcPr>
          <w:p w14:paraId="264A7AA8" w14:textId="77777777" w:rsidR="006524B3" w:rsidRPr="00F65D5A" w:rsidRDefault="006524B3" w:rsidP="000B15BF">
            <w:pPr>
              <w:jc w:val="center"/>
              <w:rPr>
                <w:rFonts w:eastAsia="Arial" w:cs="Arial"/>
                <w:szCs w:val="22"/>
              </w:rPr>
            </w:pPr>
            <w:r w:rsidRPr="00F65D5A">
              <w:rPr>
                <w:rFonts w:eastAsia="Arial" w:cs="Arial"/>
                <w:szCs w:val="22"/>
              </w:rPr>
              <w:t>p&lt;0.001</w:t>
            </w:r>
          </w:p>
        </w:tc>
      </w:tr>
    </w:tbl>
    <w:p w14:paraId="2E8DFEC6" w14:textId="06247C00" w:rsidR="006524B3" w:rsidRPr="00596484" w:rsidRDefault="006524B3" w:rsidP="000B15BF">
      <w:pPr>
        <w:jc w:val="both"/>
        <w:rPr>
          <w:rFonts w:eastAsia="Arial" w:cs="Arial"/>
          <w:szCs w:val="22"/>
        </w:rPr>
      </w:pPr>
      <w:r w:rsidRPr="00596484">
        <w:rPr>
          <w:rFonts w:eastAsia="Arial" w:cs="Arial"/>
          <w:szCs w:val="22"/>
          <w:vertAlign w:val="superscript"/>
        </w:rPr>
        <w:t>i Investigator-assessed</w:t>
      </w:r>
      <w:r w:rsidR="000B15BF" w:rsidRPr="00596484">
        <w:rPr>
          <w:rFonts w:eastAsia="Arial" w:cs="Arial"/>
          <w:szCs w:val="22"/>
          <w:vertAlign w:val="superscript"/>
        </w:rPr>
        <w:t>.</w:t>
      </w:r>
    </w:p>
    <w:p w14:paraId="1873B37F" w14:textId="31E593A2" w:rsidR="006524B3" w:rsidRPr="00596484" w:rsidRDefault="006524B3" w:rsidP="000B15BF">
      <w:pPr>
        <w:jc w:val="both"/>
        <w:rPr>
          <w:rFonts w:eastAsia="Arial" w:cs="Arial"/>
          <w:szCs w:val="22"/>
        </w:rPr>
      </w:pPr>
      <w:r w:rsidRPr="00596484">
        <w:rPr>
          <w:rFonts w:eastAsia="Arial" w:cs="Arial"/>
          <w:szCs w:val="22"/>
          <w:vertAlign w:val="superscript"/>
        </w:rPr>
        <w:t>ii Median (interquartile range) duration of follow-up 40.7 months (34.9–42.9) for </w:t>
      </w:r>
      <w:proofErr w:type="spellStart"/>
      <w:r w:rsidRPr="00596484">
        <w:rPr>
          <w:rFonts w:eastAsia="Arial" w:cs="Arial"/>
          <w:i/>
          <w:iCs/>
          <w:szCs w:val="22"/>
          <w:vertAlign w:val="superscript"/>
        </w:rPr>
        <w:t>Lynparza</w:t>
      </w:r>
      <w:proofErr w:type="spellEnd"/>
      <w:r w:rsidRPr="00596484">
        <w:rPr>
          <w:rFonts w:eastAsia="Arial" w:cs="Arial"/>
          <w:szCs w:val="22"/>
          <w:vertAlign w:val="superscript"/>
        </w:rPr>
        <w:t> and 41.2 months (32.2–41.6) for placebo</w:t>
      </w:r>
      <w:r w:rsidR="000B15BF" w:rsidRPr="00596484">
        <w:rPr>
          <w:rFonts w:eastAsia="Arial" w:cs="Arial"/>
          <w:szCs w:val="22"/>
          <w:vertAlign w:val="superscript"/>
        </w:rPr>
        <w:t>.</w:t>
      </w:r>
    </w:p>
    <w:p w14:paraId="29B9C024" w14:textId="4048DE54" w:rsidR="006524B3" w:rsidRPr="00596484" w:rsidRDefault="006524B3" w:rsidP="000B15BF">
      <w:pPr>
        <w:jc w:val="both"/>
        <w:rPr>
          <w:rFonts w:eastAsia="Arial" w:cs="Arial"/>
          <w:szCs w:val="22"/>
        </w:rPr>
      </w:pPr>
      <w:r w:rsidRPr="00596484">
        <w:rPr>
          <w:rFonts w:eastAsia="Arial" w:cs="Arial"/>
          <w:szCs w:val="22"/>
          <w:vertAlign w:val="superscript"/>
        </w:rPr>
        <w:t>iii Analysis was done at 50.6% maturity</w:t>
      </w:r>
      <w:r w:rsidR="000B15BF" w:rsidRPr="00596484">
        <w:rPr>
          <w:rFonts w:eastAsia="Arial" w:cs="Arial"/>
          <w:szCs w:val="22"/>
          <w:vertAlign w:val="superscript"/>
        </w:rPr>
        <w:t>.</w:t>
      </w:r>
    </w:p>
    <w:p w14:paraId="492AD4F6" w14:textId="77777777" w:rsidR="006E652D" w:rsidRPr="00F65D5A" w:rsidRDefault="006E652D" w:rsidP="00596484">
      <w:pPr>
        <w:jc w:val="both"/>
        <w:rPr>
          <w:rFonts w:cs="Arial"/>
          <w:b/>
          <w:bCs/>
          <w:szCs w:val="22"/>
        </w:rPr>
      </w:pPr>
    </w:p>
    <w:p w14:paraId="30107B92" w14:textId="1FC96A35" w:rsidR="009C0B67" w:rsidRPr="00596484" w:rsidRDefault="00ED7337" w:rsidP="00596484">
      <w:pPr>
        <w:spacing w:line="276" w:lineRule="auto"/>
        <w:jc w:val="both"/>
        <w:rPr>
          <w:rFonts w:eastAsia="Arial" w:cs="Arial"/>
          <w:szCs w:val="22"/>
        </w:rPr>
      </w:pPr>
      <w:r w:rsidRPr="00596484">
        <w:rPr>
          <w:rFonts w:eastAsia="Arial" w:cs="Arial"/>
          <w:szCs w:val="22"/>
        </w:rPr>
        <w:t xml:space="preserve">The SOLO-1 safety profile was in line with that observed in prior clinical trials. The most common adverse events (AEs) ≥ 20% were nausea (77%), fatigue (63%), vomiting (40%), anaemia (39%) and diarrhoea (34%). The most common ≥ Grade 3 AEs were anaemia (22%) and neutropenia (9%). Some 71% of patients on </w:t>
      </w:r>
      <w:proofErr w:type="spellStart"/>
      <w:r w:rsidRPr="00596484">
        <w:rPr>
          <w:rFonts w:eastAsia="Arial" w:cs="Arial"/>
          <w:i/>
          <w:iCs/>
          <w:szCs w:val="22"/>
        </w:rPr>
        <w:t>Lynparza</w:t>
      </w:r>
      <w:proofErr w:type="spellEnd"/>
      <w:r w:rsidRPr="00596484">
        <w:rPr>
          <w:rFonts w:eastAsia="Arial" w:cs="Arial"/>
          <w:szCs w:val="22"/>
        </w:rPr>
        <w:t xml:space="preserve"> remained on the recommended starting dose. Additionally, 88% of patients on </w:t>
      </w:r>
      <w:proofErr w:type="spellStart"/>
      <w:r w:rsidRPr="00596484">
        <w:rPr>
          <w:rFonts w:eastAsia="Arial" w:cs="Arial"/>
          <w:i/>
          <w:iCs/>
          <w:szCs w:val="22"/>
        </w:rPr>
        <w:t>Lynparza</w:t>
      </w:r>
      <w:proofErr w:type="spellEnd"/>
      <w:r w:rsidRPr="00596484">
        <w:rPr>
          <w:rFonts w:eastAsia="Arial" w:cs="Arial"/>
          <w:szCs w:val="22"/>
        </w:rPr>
        <w:t xml:space="preserve"> continued treatment without an AE-related discontinuation.</w:t>
      </w:r>
    </w:p>
    <w:p w14:paraId="221F888C" w14:textId="2E97F878" w:rsidR="006524B3" w:rsidRPr="00596484" w:rsidRDefault="006524B3" w:rsidP="00596484">
      <w:pPr>
        <w:spacing w:line="276" w:lineRule="auto"/>
        <w:jc w:val="both"/>
        <w:rPr>
          <w:rFonts w:eastAsia="Arial" w:cs="Arial"/>
          <w:szCs w:val="22"/>
        </w:rPr>
      </w:pPr>
    </w:p>
    <w:p w14:paraId="530A050B" w14:textId="5B969CCD" w:rsidR="00FF075D" w:rsidRPr="00F463BF" w:rsidRDefault="00FF075D" w:rsidP="00596484">
      <w:pPr>
        <w:spacing w:line="276" w:lineRule="auto"/>
        <w:jc w:val="both"/>
        <w:rPr>
          <w:rFonts w:eastAsia="Arial" w:cs="Arial"/>
          <w:szCs w:val="22"/>
        </w:rPr>
      </w:pPr>
      <w:r w:rsidRPr="00596484">
        <w:rPr>
          <w:rFonts w:eastAsia="Arial" w:cs="Arial"/>
          <w:b/>
          <w:bCs/>
          <w:szCs w:val="22"/>
        </w:rPr>
        <w:t>Financial considerations</w:t>
      </w:r>
    </w:p>
    <w:p w14:paraId="47BAF691" w14:textId="46A552E7" w:rsidR="005E462B" w:rsidRPr="00F463BF" w:rsidRDefault="00FF075D" w:rsidP="00596484">
      <w:pPr>
        <w:spacing w:line="276" w:lineRule="auto"/>
        <w:jc w:val="both"/>
        <w:rPr>
          <w:rFonts w:eastAsia="Arial" w:cs="Arial"/>
          <w:szCs w:val="22"/>
        </w:rPr>
      </w:pPr>
      <w:r w:rsidRPr="00F463BF">
        <w:rPr>
          <w:rFonts w:eastAsia="Arial" w:cs="Arial"/>
          <w:szCs w:val="22"/>
        </w:rPr>
        <w:t xml:space="preserve">Under the oncology collaboration with MSD and following this new approval for </w:t>
      </w:r>
      <w:proofErr w:type="spellStart"/>
      <w:r w:rsidRPr="00596484">
        <w:rPr>
          <w:rFonts w:eastAsia="Arial" w:cs="Arial"/>
          <w:i/>
          <w:iCs/>
          <w:szCs w:val="22"/>
        </w:rPr>
        <w:t>Lynparza</w:t>
      </w:r>
      <w:proofErr w:type="spellEnd"/>
      <w:r w:rsidRPr="00F463BF">
        <w:rPr>
          <w:rFonts w:eastAsia="Arial" w:cs="Arial"/>
          <w:szCs w:val="22"/>
        </w:rPr>
        <w:t>, AstraZeneca will receive $30</w:t>
      </w:r>
      <w:r w:rsidR="00F463BF" w:rsidRPr="00F463BF">
        <w:rPr>
          <w:rFonts w:eastAsia="Arial" w:cs="Arial"/>
          <w:szCs w:val="22"/>
        </w:rPr>
        <w:t>m</w:t>
      </w:r>
      <w:r w:rsidRPr="00F463BF">
        <w:rPr>
          <w:rFonts w:eastAsia="Arial" w:cs="Arial"/>
          <w:szCs w:val="22"/>
        </w:rPr>
        <w:t xml:space="preserve"> as Ongoing Collaboration Revenue, anticipated to be booked by the Company during the second quarter of 2019.</w:t>
      </w:r>
      <w:r w:rsidR="009D1F01">
        <w:rPr>
          <w:rFonts w:eastAsia="Arial" w:cs="Arial"/>
          <w:szCs w:val="22"/>
        </w:rPr>
        <w:t xml:space="preserve"> </w:t>
      </w:r>
    </w:p>
    <w:p w14:paraId="1E9B4EAB" w14:textId="77777777" w:rsidR="005E462B" w:rsidRPr="00596484" w:rsidRDefault="005E462B" w:rsidP="00596484">
      <w:pPr>
        <w:spacing w:line="276" w:lineRule="auto"/>
        <w:jc w:val="both"/>
        <w:rPr>
          <w:rFonts w:eastAsia="Arial" w:cs="Arial"/>
          <w:szCs w:val="22"/>
        </w:rPr>
      </w:pPr>
    </w:p>
    <w:p w14:paraId="7B014348" w14:textId="40D6C6D5" w:rsidR="00515207" w:rsidRPr="00F463BF" w:rsidRDefault="00515207" w:rsidP="00596484">
      <w:pPr>
        <w:spacing w:line="276" w:lineRule="auto"/>
        <w:jc w:val="both"/>
        <w:rPr>
          <w:rFonts w:eastAsia="Arial" w:cs="Arial"/>
          <w:b/>
          <w:bCs/>
          <w:szCs w:val="22"/>
        </w:rPr>
      </w:pPr>
      <w:r w:rsidRPr="00F463BF">
        <w:rPr>
          <w:rFonts w:eastAsia="Arial" w:cs="Arial"/>
          <w:b/>
          <w:bCs/>
          <w:szCs w:val="22"/>
        </w:rPr>
        <w:t xml:space="preserve">About </w:t>
      </w:r>
      <w:r w:rsidR="000B15BF" w:rsidRPr="00F463BF">
        <w:rPr>
          <w:rFonts w:eastAsia="Arial" w:cs="Arial"/>
          <w:b/>
          <w:bCs/>
          <w:szCs w:val="22"/>
        </w:rPr>
        <w:t>o</w:t>
      </w:r>
      <w:r w:rsidRPr="00F463BF">
        <w:rPr>
          <w:rFonts w:eastAsia="Arial" w:cs="Arial"/>
          <w:b/>
          <w:bCs/>
          <w:szCs w:val="22"/>
        </w:rPr>
        <w:t xml:space="preserve">varian </w:t>
      </w:r>
      <w:r w:rsidR="000B15BF" w:rsidRPr="00F463BF">
        <w:rPr>
          <w:rFonts w:eastAsia="Arial" w:cs="Arial"/>
          <w:b/>
          <w:bCs/>
          <w:szCs w:val="22"/>
        </w:rPr>
        <w:t>c</w:t>
      </w:r>
      <w:r w:rsidRPr="00F463BF">
        <w:rPr>
          <w:rFonts w:eastAsia="Arial" w:cs="Arial"/>
          <w:b/>
          <w:bCs/>
          <w:szCs w:val="22"/>
        </w:rPr>
        <w:t>ancer</w:t>
      </w:r>
    </w:p>
    <w:p w14:paraId="67A753E9" w14:textId="79E5154C" w:rsidR="00515207" w:rsidRPr="00596484" w:rsidDel="66B29B6F" w:rsidRDefault="66B29B6F" w:rsidP="00596484">
      <w:pPr>
        <w:widowControl w:val="0"/>
        <w:spacing w:line="276" w:lineRule="auto"/>
        <w:jc w:val="both"/>
        <w:rPr>
          <w:rStyle w:val="EndnoteReference"/>
          <w:rFonts w:cs="Arial"/>
          <w:szCs w:val="22"/>
          <w:lang w:eastAsia="en-GB"/>
        </w:rPr>
      </w:pPr>
      <w:r w:rsidRPr="00596484">
        <w:rPr>
          <w:rFonts w:eastAsia="Arial" w:cs="Arial"/>
          <w:szCs w:val="22"/>
        </w:rPr>
        <w:t>Ovarian cancer is a leading cause of cancer death</w:t>
      </w:r>
      <w:r w:rsidR="000B15BF" w:rsidRPr="00596484">
        <w:rPr>
          <w:rFonts w:eastAsia="Arial" w:cs="Arial"/>
          <w:szCs w:val="22"/>
        </w:rPr>
        <w:t>s</w:t>
      </w:r>
      <w:r w:rsidRPr="00596484">
        <w:rPr>
          <w:rFonts w:eastAsia="Arial" w:cs="Arial"/>
          <w:szCs w:val="22"/>
        </w:rPr>
        <w:t xml:space="preserve"> in women worldwide, with a five-year survival rate of 19%.</w:t>
      </w:r>
      <w:r w:rsidR="2F8F95B1" w:rsidRPr="00596484">
        <w:rPr>
          <w:rFonts w:eastAsia="Arial" w:cs="Arial"/>
          <w:szCs w:val="22"/>
          <w:vertAlign w:val="superscript"/>
        </w:rPr>
        <w:t>1</w:t>
      </w:r>
      <w:r w:rsidRPr="00596484">
        <w:rPr>
          <w:rFonts w:eastAsia="Arial" w:cs="Arial"/>
          <w:szCs w:val="22"/>
          <w:vertAlign w:val="superscript"/>
        </w:rPr>
        <w:t xml:space="preserve"> </w:t>
      </w:r>
      <w:r w:rsidRPr="00596484">
        <w:rPr>
          <w:rFonts w:eastAsia="Arial" w:cs="Arial"/>
          <w:szCs w:val="22"/>
        </w:rPr>
        <w:t xml:space="preserve">In 2018, there were </w:t>
      </w:r>
      <w:r w:rsidR="00C902A7" w:rsidRPr="00596484">
        <w:rPr>
          <w:rFonts w:eastAsia="Arial" w:cs="Arial"/>
          <w:szCs w:val="22"/>
        </w:rPr>
        <w:t>nearly 300,000</w:t>
      </w:r>
      <w:r w:rsidRPr="00596484">
        <w:rPr>
          <w:rFonts w:eastAsia="Arial" w:cs="Arial"/>
          <w:szCs w:val="22"/>
        </w:rPr>
        <w:t xml:space="preserve"> new cases diagnosed and around 185,000 deaths.</w:t>
      </w:r>
      <w:r w:rsidR="5C46979E" w:rsidRPr="00596484">
        <w:rPr>
          <w:rFonts w:eastAsia="Arial" w:cs="Arial"/>
          <w:szCs w:val="22"/>
          <w:vertAlign w:val="superscript"/>
        </w:rPr>
        <w:t>2</w:t>
      </w:r>
      <w:r w:rsidR="00B9795D">
        <w:rPr>
          <w:rFonts w:eastAsia="Arial" w:cs="Arial"/>
          <w:szCs w:val="22"/>
        </w:rPr>
        <w:t xml:space="preserve"> </w:t>
      </w:r>
      <w:r w:rsidRPr="00596484">
        <w:rPr>
          <w:rFonts w:eastAsia="Arial" w:cs="Arial"/>
          <w:szCs w:val="22"/>
        </w:rPr>
        <w:t xml:space="preserve">For </w:t>
      </w:r>
      <w:r w:rsidRPr="00F77848">
        <w:rPr>
          <w:rFonts w:cs="Arial"/>
          <w:szCs w:val="22"/>
        </w:rPr>
        <w:t>newly-diagnosed advanced ovarian cancer, the primary aim of treatment is to delay progression of the disease for as long as possible and maintain the patient’s quality of life with the intent of achieving complete remission</w:t>
      </w:r>
      <w:r w:rsidRPr="00596484">
        <w:rPr>
          <w:rFonts w:eastAsia="Arial" w:cs="Arial"/>
          <w:szCs w:val="22"/>
        </w:rPr>
        <w:t xml:space="preserve"> or cure.</w:t>
      </w:r>
      <w:r w:rsidR="57498CF1" w:rsidRPr="00596484">
        <w:rPr>
          <w:rFonts w:eastAsia="Arial" w:cs="Arial"/>
          <w:szCs w:val="22"/>
          <w:vertAlign w:val="superscript"/>
        </w:rPr>
        <w:t>3</w:t>
      </w:r>
      <w:r w:rsidR="6A43ECD6" w:rsidRPr="00596484">
        <w:rPr>
          <w:rFonts w:eastAsia="Arial" w:cs="Arial"/>
          <w:szCs w:val="22"/>
          <w:vertAlign w:val="superscript"/>
        </w:rPr>
        <w:t>,4,5,6</w:t>
      </w:r>
    </w:p>
    <w:p w14:paraId="01AA5988" w14:textId="77777777" w:rsidR="000756C3" w:rsidRPr="00596484" w:rsidRDefault="000756C3" w:rsidP="00596484">
      <w:pPr>
        <w:autoSpaceDE w:val="0"/>
        <w:autoSpaceDN w:val="0"/>
        <w:adjustRightInd w:val="0"/>
        <w:spacing w:line="276" w:lineRule="auto"/>
        <w:jc w:val="both"/>
        <w:rPr>
          <w:rFonts w:cs="Arial"/>
          <w:b/>
          <w:bCs/>
          <w:szCs w:val="22"/>
        </w:rPr>
      </w:pPr>
    </w:p>
    <w:p w14:paraId="48982E0B" w14:textId="77777777" w:rsidR="000756C3" w:rsidRPr="00F463BF" w:rsidRDefault="000756C3" w:rsidP="00596484">
      <w:pPr>
        <w:autoSpaceDE w:val="0"/>
        <w:autoSpaceDN w:val="0"/>
        <w:adjustRightInd w:val="0"/>
        <w:spacing w:line="276" w:lineRule="auto"/>
        <w:jc w:val="both"/>
        <w:rPr>
          <w:rFonts w:cs="Arial"/>
          <w:b/>
          <w:szCs w:val="22"/>
        </w:rPr>
      </w:pPr>
      <w:r w:rsidRPr="00F463BF">
        <w:rPr>
          <w:rFonts w:cs="Arial"/>
          <w:b/>
          <w:szCs w:val="22"/>
        </w:rPr>
        <w:t xml:space="preserve">About </w:t>
      </w:r>
      <w:r w:rsidRPr="00596484">
        <w:rPr>
          <w:rFonts w:cs="Arial"/>
          <w:b/>
          <w:szCs w:val="22"/>
        </w:rPr>
        <w:t>BRCA</w:t>
      </w:r>
      <w:r w:rsidRPr="00F463BF">
        <w:rPr>
          <w:rFonts w:cs="Arial"/>
          <w:b/>
          <w:szCs w:val="22"/>
        </w:rPr>
        <w:t xml:space="preserve"> mutations </w:t>
      </w:r>
    </w:p>
    <w:p w14:paraId="6C4AE75C" w14:textId="6C2BAF90" w:rsidR="006524B3" w:rsidRPr="00596484" w:rsidRDefault="000756C3" w:rsidP="00F463BF">
      <w:pPr>
        <w:pStyle w:val="Boldbodytext"/>
        <w:spacing w:line="276" w:lineRule="auto"/>
        <w:jc w:val="both"/>
        <w:rPr>
          <w:b w:val="0"/>
          <w:bCs w:val="0"/>
          <w:color w:val="auto"/>
        </w:rPr>
      </w:pPr>
      <w:r w:rsidRPr="00596484">
        <w:rPr>
          <w:b w:val="0"/>
          <w:bCs w:val="0"/>
          <w:color w:val="auto"/>
        </w:rPr>
        <w:t>BRCA</w:t>
      </w:r>
      <w:r w:rsidRPr="00596484">
        <w:rPr>
          <w:b w:val="0"/>
          <w:bCs w:val="0"/>
          <w:iCs/>
          <w:color w:val="auto"/>
        </w:rPr>
        <w:t>1</w:t>
      </w:r>
      <w:r w:rsidRPr="00596484">
        <w:rPr>
          <w:b w:val="0"/>
          <w:bCs w:val="0"/>
          <w:color w:val="auto"/>
        </w:rPr>
        <w:t xml:space="preserve"> and BRCA</w:t>
      </w:r>
      <w:r w:rsidRPr="00596484">
        <w:rPr>
          <w:b w:val="0"/>
          <w:bCs w:val="0"/>
          <w:iCs/>
          <w:color w:val="auto"/>
        </w:rPr>
        <w:t>2</w:t>
      </w:r>
      <w:r w:rsidRPr="00596484">
        <w:rPr>
          <w:b w:val="0"/>
          <w:bCs w:val="0"/>
          <w:color w:val="auto"/>
        </w:rPr>
        <w:t xml:space="preserve"> are human genes that produce proteins responsible for repairing damaged DNA and play an important role in maintaining the genetic stability of cells. When either of these genes is mutated, or altered, such that its protein product either is not made or does not function correctly, DNA damage may not be repaired properly, and cells become unstable. As a result, cells are more likely to develop additional genetic alterations that can lead to cancer.</w:t>
      </w:r>
    </w:p>
    <w:p w14:paraId="12813988" w14:textId="349C1EB5" w:rsidR="006524B3" w:rsidRPr="00596484" w:rsidRDefault="006524B3" w:rsidP="00596484">
      <w:pPr>
        <w:pStyle w:val="Boldbodytext"/>
        <w:spacing w:line="276" w:lineRule="auto"/>
        <w:jc w:val="both"/>
        <w:rPr>
          <w:b w:val="0"/>
          <w:bCs w:val="0"/>
          <w:color w:val="auto"/>
        </w:rPr>
      </w:pPr>
    </w:p>
    <w:p w14:paraId="2673C174" w14:textId="77777777" w:rsidR="006524B3" w:rsidRPr="00596484" w:rsidRDefault="006524B3" w:rsidP="00596484">
      <w:pPr>
        <w:autoSpaceDE w:val="0"/>
        <w:autoSpaceDN w:val="0"/>
        <w:adjustRightInd w:val="0"/>
        <w:spacing w:line="276" w:lineRule="auto"/>
        <w:jc w:val="both"/>
        <w:rPr>
          <w:rFonts w:cs="Arial"/>
          <w:b/>
          <w:bCs/>
          <w:szCs w:val="22"/>
        </w:rPr>
      </w:pPr>
      <w:r w:rsidRPr="00596484">
        <w:rPr>
          <w:rFonts w:cs="Arial"/>
          <w:b/>
          <w:bCs/>
          <w:szCs w:val="22"/>
        </w:rPr>
        <w:t>About </w:t>
      </w:r>
      <w:proofErr w:type="spellStart"/>
      <w:r w:rsidRPr="00596484">
        <w:rPr>
          <w:rFonts w:cs="Arial"/>
          <w:b/>
          <w:bCs/>
          <w:i/>
          <w:iCs/>
          <w:szCs w:val="22"/>
        </w:rPr>
        <w:t>Lynparza</w:t>
      </w:r>
      <w:proofErr w:type="spellEnd"/>
    </w:p>
    <w:p w14:paraId="41D14666" w14:textId="71F68923" w:rsidR="006524B3" w:rsidRPr="00596484" w:rsidRDefault="006524B3" w:rsidP="00F463BF">
      <w:pPr>
        <w:pStyle w:val="Boldbodytext"/>
        <w:spacing w:line="276" w:lineRule="auto"/>
        <w:jc w:val="both"/>
        <w:rPr>
          <w:b w:val="0"/>
          <w:bCs w:val="0"/>
          <w:color w:val="auto"/>
        </w:rPr>
      </w:pPr>
      <w:proofErr w:type="spellStart"/>
      <w:r w:rsidRPr="00596484">
        <w:rPr>
          <w:b w:val="0"/>
          <w:bCs w:val="0"/>
          <w:i/>
          <w:iCs/>
          <w:color w:val="auto"/>
        </w:rPr>
        <w:t>Lynparza</w:t>
      </w:r>
      <w:proofErr w:type="spellEnd"/>
      <w:r w:rsidRPr="00596484">
        <w:rPr>
          <w:b w:val="0"/>
          <w:bCs w:val="0"/>
          <w:color w:val="auto"/>
        </w:rPr>
        <w:t> (</w:t>
      </w:r>
      <w:proofErr w:type="spellStart"/>
      <w:r w:rsidRPr="00596484">
        <w:rPr>
          <w:b w:val="0"/>
          <w:bCs w:val="0"/>
          <w:color w:val="auto"/>
        </w:rPr>
        <w:t>olaparib</w:t>
      </w:r>
      <w:proofErr w:type="spellEnd"/>
      <w:r w:rsidRPr="00596484">
        <w:rPr>
          <w:b w:val="0"/>
          <w:bCs w:val="0"/>
          <w:color w:val="auto"/>
        </w:rPr>
        <w:t>) is a first-in-class PARP inhibitor and the first targeted treatment to block DNA damage response (DDR) in cells/tumours harbouring a deficiency in homologous recombination repair (HRR), such as mutations in BRCA1 and/or BRCA2. Inhibition of PARP with </w:t>
      </w:r>
      <w:proofErr w:type="spellStart"/>
      <w:r w:rsidRPr="00596484">
        <w:rPr>
          <w:b w:val="0"/>
          <w:bCs w:val="0"/>
          <w:i/>
          <w:iCs/>
          <w:color w:val="auto"/>
        </w:rPr>
        <w:t>Lynparza</w:t>
      </w:r>
      <w:proofErr w:type="spellEnd"/>
      <w:r w:rsidRPr="00596484">
        <w:rPr>
          <w:b w:val="0"/>
          <w:bCs w:val="0"/>
          <w:color w:val="auto"/>
        </w:rPr>
        <w:t> leads to the trapping of PARP bound to DNA single-strand breaks, stalling of replication forks, their collapse and the generation of DNA double-strand breaks and cancer cell death. </w:t>
      </w:r>
      <w:proofErr w:type="spellStart"/>
      <w:r w:rsidRPr="00596484">
        <w:rPr>
          <w:b w:val="0"/>
          <w:bCs w:val="0"/>
          <w:i/>
          <w:iCs/>
          <w:color w:val="auto"/>
        </w:rPr>
        <w:t>Lynparza</w:t>
      </w:r>
      <w:proofErr w:type="spellEnd"/>
      <w:r w:rsidRPr="00596484">
        <w:rPr>
          <w:b w:val="0"/>
          <w:bCs w:val="0"/>
          <w:color w:val="auto"/>
        </w:rPr>
        <w:t> is being tested in a range of PARP-dependent tumour types with defects and dependencies in the DDR.</w:t>
      </w:r>
    </w:p>
    <w:p w14:paraId="19F7F562" w14:textId="77777777" w:rsidR="006524B3" w:rsidRPr="00596484" w:rsidRDefault="006524B3" w:rsidP="00596484">
      <w:pPr>
        <w:pStyle w:val="Boldbodytext"/>
        <w:spacing w:line="276" w:lineRule="auto"/>
        <w:jc w:val="both"/>
        <w:rPr>
          <w:color w:val="auto"/>
        </w:rPr>
      </w:pPr>
    </w:p>
    <w:p w14:paraId="148686EE" w14:textId="6B57699E" w:rsidR="006524B3" w:rsidRPr="00596484" w:rsidRDefault="006524B3" w:rsidP="00F463BF">
      <w:pPr>
        <w:pStyle w:val="Boldbodytext"/>
        <w:spacing w:line="276" w:lineRule="auto"/>
        <w:jc w:val="both"/>
        <w:rPr>
          <w:b w:val="0"/>
          <w:bCs w:val="0"/>
          <w:color w:val="auto"/>
        </w:rPr>
      </w:pPr>
      <w:proofErr w:type="spellStart"/>
      <w:r w:rsidRPr="00596484">
        <w:rPr>
          <w:b w:val="0"/>
          <w:bCs w:val="0"/>
          <w:i/>
          <w:iCs/>
          <w:color w:val="auto"/>
        </w:rPr>
        <w:t>Lynparza</w:t>
      </w:r>
      <w:proofErr w:type="spellEnd"/>
      <w:r w:rsidRPr="00596484">
        <w:rPr>
          <w:b w:val="0"/>
          <w:bCs w:val="0"/>
          <w:color w:val="auto"/>
        </w:rPr>
        <w:t> is currently approved in over 60 countries, including those in the EU, for the maintenance treatment of platinum-sensitive relapsed ovarian cancer regardless of BRCA status. It is approved in the US, Canada</w:t>
      </w:r>
      <w:r w:rsidR="000B15BF" w:rsidRPr="00596484">
        <w:rPr>
          <w:b w:val="0"/>
          <w:bCs w:val="0"/>
          <w:color w:val="auto"/>
        </w:rPr>
        <w:t>,</w:t>
      </w:r>
      <w:r w:rsidRPr="00596484">
        <w:rPr>
          <w:b w:val="0"/>
          <w:bCs w:val="0"/>
          <w:color w:val="auto"/>
        </w:rPr>
        <w:t xml:space="preserve"> Brazil </w:t>
      </w:r>
      <w:r w:rsidR="000B15BF" w:rsidRPr="00596484">
        <w:rPr>
          <w:b w:val="0"/>
          <w:bCs w:val="0"/>
          <w:color w:val="auto"/>
        </w:rPr>
        <w:t xml:space="preserve">and now the EU </w:t>
      </w:r>
      <w:r w:rsidRPr="00596484">
        <w:rPr>
          <w:b w:val="0"/>
          <w:bCs w:val="0"/>
          <w:color w:val="auto"/>
        </w:rPr>
        <w:t xml:space="preserve">as 1st-line maintenance treatment of </w:t>
      </w:r>
      <w:proofErr w:type="spellStart"/>
      <w:r w:rsidRPr="00596484">
        <w:rPr>
          <w:b w:val="0"/>
          <w:bCs w:val="0"/>
          <w:color w:val="auto"/>
        </w:rPr>
        <w:t>BRCAm</w:t>
      </w:r>
      <w:proofErr w:type="spellEnd"/>
      <w:r w:rsidRPr="00596484">
        <w:rPr>
          <w:b w:val="0"/>
          <w:bCs w:val="0"/>
          <w:color w:val="auto"/>
        </w:rPr>
        <w:t xml:space="preserve"> advanced ovarian cancer following response to platinum-based chemotherapy. It is also approved in nearly 40 countries for germline </w:t>
      </w:r>
      <w:proofErr w:type="spellStart"/>
      <w:r w:rsidRPr="00596484">
        <w:rPr>
          <w:b w:val="0"/>
          <w:bCs w:val="0"/>
          <w:color w:val="auto"/>
        </w:rPr>
        <w:t>BRCAm</w:t>
      </w:r>
      <w:proofErr w:type="spellEnd"/>
      <w:r w:rsidRPr="00596484">
        <w:rPr>
          <w:b w:val="0"/>
          <w:bCs w:val="0"/>
          <w:color w:val="auto"/>
        </w:rPr>
        <w:t xml:space="preserve"> HER2-negative metastatic breast cancer previously treated with chemotherapy. Regulatory reviews are underway in other jurisdictions for both ovarian cancer and breast cancer.</w:t>
      </w:r>
    </w:p>
    <w:p w14:paraId="65B4C635" w14:textId="77777777" w:rsidR="006524B3" w:rsidRPr="00596484" w:rsidRDefault="006524B3" w:rsidP="00596484">
      <w:pPr>
        <w:pStyle w:val="Boldbodytext"/>
        <w:spacing w:line="276" w:lineRule="auto"/>
        <w:jc w:val="both"/>
        <w:rPr>
          <w:color w:val="auto"/>
        </w:rPr>
      </w:pPr>
    </w:p>
    <w:p w14:paraId="07F32411" w14:textId="15C60854" w:rsidR="006524B3" w:rsidRPr="00596484" w:rsidRDefault="006524B3" w:rsidP="00F463BF">
      <w:pPr>
        <w:pStyle w:val="Boldbodytext"/>
        <w:spacing w:line="276" w:lineRule="auto"/>
        <w:jc w:val="both"/>
        <w:rPr>
          <w:b w:val="0"/>
          <w:bCs w:val="0"/>
          <w:color w:val="auto"/>
        </w:rPr>
      </w:pPr>
      <w:proofErr w:type="spellStart"/>
      <w:r w:rsidRPr="00596484">
        <w:rPr>
          <w:b w:val="0"/>
          <w:bCs w:val="0"/>
          <w:i/>
          <w:iCs/>
          <w:color w:val="auto"/>
        </w:rPr>
        <w:t>Lynparza</w:t>
      </w:r>
      <w:proofErr w:type="spellEnd"/>
      <w:r w:rsidRPr="00596484">
        <w:rPr>
          <w:b w:val="0"/>
          <w:bCs w:val="0"/>
          <w:color w:val="auto"/>
        </w:rPr>
        <w:t> has the broadest and most advanced clinical trial development programme of any PARP inhibitor, and AstraZeneca and MSD are working together to understand how it may affect multiple PARP-dependent tumours as a monotherapy and in combination across multiple cancer types. </w:t>
      </w:r>
      <w:proofErr w:type="spellStart"/>
      <w:r w:rsidRPr="00596484">
        <w:rPr>
          <w:b w:val="0"/>
          <w:bCs w:val="0"/>
          <w:i/>
          <w:iCs/>
          <w:color w:val="auto"/>
        </w:rPr>
        <w:t>Lynparza</w:t>
      </w:r>
      <w:proofErr w:type="spellEnd"/>
      <w:r w:rsidRPr="00596484">
        <w:rPr>
          <w:b w:val="0"/>
          <w:bCs w:val="0"/>
          <w:color w:val="auto"/>
        </w:rPr>
        <w:t> is the foundation of AstraZeneca’s industry-leading portfolio of potential new medicines targeting DDR mechanisms in cancer cells.</w:t>
      </w:r>
    </w:p>
    <w:p w14:paraId="693A41E0" w14:textId="77777777" w:rsidR="006524B3" w:rsidRPr="00596484" w:rsidRDefault="006524B3" w:rsidP="00596484">
      <w:pPr>
        <w:pStyle w:val="Boldbodytext"/>
        <w:spacing w:line="276" w:lineRule="auto"/>
        <w:jc w:val="both"/>
        <w:rPr>
          <w:color w:val="auto"/>
        </w:rPr>
      </w:pPr>
    </w:p>
    <w:p w14:paraId="6299C03F" w14:textId="77777777" w:rsidR="003221B3" w:rsidRPr="00F463BF" w:rsidRDefault="003221B3" w:rsidP="00596484">
      <w:pPr>
        <w:spacing w:line="276" w:lineRule="auto"/>
        <w:jc w:val="both"/>
        <w:rPr>
          <w:rFonts w:cs="Arial"/>
          <w:b/>
          <w:bCs/>
          <w:szCs w:val="22"/>
          <w:lang w:eastAsia="en-GB"/>
        </w:rPr>
      </w:pPr>
      <w:r w:rsidRPr="00F463BF">
        <w:rPr>
          <w:rFonts w:cs="Arial"/>
          <w:b/>
          <w:bCs/>
          <w:szCs w:val="22"/>
          <w:lang w:eastAsia="en-GB"/>
        </w:rPr>
        <w:t>About the AstraZeneca and MSD strategic oncology collaboration</w:t>
      </w:r>
    </w:p>
    <w:p w14:paraId="3F711178" w14:textId="60F62CD3" w:rsidR="003221B3" w:rsidRPr="00596484" w:rsidRDefault="003221B3" w:rsidP="00F463BF">
      <w:pPr>
        <w:pStyle w:val="Boldbodytext"/>
        <w:spacing w:line="276" w:lineRule="auto"/>
        <w:jc w:val="both"/>
        <w:rPr>
          <w:b w:val="0"/>
          <w:bCs w:val="0"/>
          <w:color w:val="auto"/>
        </w:rPr>
      </w:pPr>
      <w:r w:rsidRPr="00596484">
        <w:rPr>
          <w:b w:val="0"/>
          <w:bCs w:val="0"/>
          <w:color w:val="auto"/>
        </w:rPr>
        <w:t xml:space="preserve">In July 2017, AstraZeneca and Merck &amp; Co., Inc., Kenilworth, NJ, US, known as MSD outside the United States and Canada, announced a global strategic oncology collaboration to co-develop and co-commercialise </w:t>
      </w:r>
      <w:proofErr w:type="spellStart"/>
      <w:r w:rsidRPr="00596484">
        <w:rPr>
          <w:b w:val="0"/>
          <w:bCs w:val="0"/>
          <w:i/>
          <w:iCs/>
          <w:color w:val="auto"/>
        </w:rPr>
        <w:t>Lynparza</w:t>
      </w:r>
      <w:proofErr w:type="spellEnd"/>
      <w:r w:rsidRPr="00596484">
        <w:rPr>
          <w:b w:val="0"/>
          <w:bCs w:val="0"/>
          <w:color w:val="auto"/>
        </w:rPr>
        <w:t xml:space="preserve">, the world’s first PARP inhibitor, and potential new medicine </w:t>
      </w:r>
      <w:proofErr w:type="spellStart"/>
      <w:r w:rsidRPr="00596484">
        <w:rPr>
          <w:b w:val="0"/>
          <w:bCs w:val="0"/>
          <w:color w:val="auto"/>
        </w:rPr>
        <w:t>selumetinib</w:t>
      </w:r>
      <w:proofErr w:type="spellEnd"/>
      <w:r w:rsidRPr="00596484">
        <w:rPr>
          <w:b w:val="0"/>
          <w:bCs w:val="0"/>
          <w:color w:val="auto"/>
        </w:rPr>
        <w:t xml:space="preserve">, a MEK inhibitor, for multiple cancer types. Working together, the companies will develop </w:t>
      </w:r>
      <w:proofErr w:type="spellStart"/>
      <w:r w:rsidRPr="00596484">
        <w:rPr>
          <w:b w:val="0"/>
          <w:bCs w:val="0"/>
          <w:i/>
          <w:iCs/>
          <w:color w:val="auto"/>
        </w:rPr>
        <w:t>Lynparza</w:t>
      </w:r>
      <w:proofErr w:type="spellEnd"/>
      <w:r w:rsidRPr="00596484">
        <w:rPr>
          <w:b w:val="0"/>
          <w:bCs w:val="0"/>
          <w:color w:val="auto"/>
        </w:rPr>
        <w:t xml:space="preserve"> and </w:t>
      </w:r>
      <w:proofErr w:type="spellStart"/>
      <w:r w:rsidRPr="00596484">
        <w:rPr>
          <w:b w:val="0"/>
          <w:bCs w:val="0"/>
          <w:color w:val="auto"/>
        </w:rPr>
        <w:t>selumetinib</w:t>
      </w:r>
      <w:proofErr w:type="spellEnd"/>
      <w:r w:rsidRPr="00596484">
        <w:rPr>
          <w:b w:val="0"/>
          <w:bCs w:val="0"/>
          <w:color w:val="auto"/>
        </w:rPr>
        <w:t xml:space="preserve"> in combination with other potential new medicines and as monotherapies. Independently, the companies will develop </w:t>
      </w:r>
      <w:proofErr w:type="spellStart"/>
      <w:r w:rsidRPr="00596484">
        <w:rPr>
          <w:b w:val="0"/>
          <w:bCs w:val="0"/>
          <w:i/>
          <w:iCs/>
          <w:color w:val="auto"/>
        </w:rPr>
        <w:t>Lynparza</w:t>
      </w:r>
      <w:proofErr w:type="spellEnd"/>
      <w:r w:rsidRPr="00596484">
        <w:rPr>
          <w:b w:val="0"/>
          <w:bCs w:val="0"/>
          <w:color w:val="auto"/>
        </w:rPr>
        <w:t xml:space="preserve"> and </w:t>
      </w:r>
      <w:proofErr w:type="spellStart"/>
      <w:r w:rsidRPr="00596484">
        <w:rPr>
          <w:b w:val="0"/>
          <w:bCs w:val="0"/>
          <w:color w:val="auto"/>
        </w:rPr>
        <w:t>selumetinib</w:t>
      </w:r>
      <w:proofErr w:type="spellEnd"/>
      <w:r w:rsidRPr="00596484">
        <w:rPr>
          <w:b w:val="0"/>
          <w:bCs w:val="0"/>
          <w:color w:val="auto"/>
        </w:rPr>
        <w:t xml:space="preserve"> in combination with their respective PD-L1 and PD-1 medicines.</w:t>
      </w:r>
    </w:p>
    <w:p w14:paraId="5F22954F" w14:textId="2358B9C6" w:rsidR="006524B3" w:rsidRPr="00596484" w:rsidRDefault="006524B3" w:rsidP="00F463BF">
      <w:pPr>
        <w:pStyle w:val="Boldbodytext"/>
        <w:spacing w:line="276" w:lineRule="auto"/>
        <w:jc w:val="both"/>
        <w:rPr>
          <w:b w:val="0"/>
          <w:bCs w:val="0"/>
          <w:color w:val="auto"/>
        </w:rPr>
      </w:pPr>
    </w:p>
    <w:p w14:paraId="3C4B01D0" w14:textId="77777777" w:rsidR="006524B3" w:rsidRPr="00F463BF" w:rsidRDefault="006524B3" w:rsidP="00F463BF">
      <w:pPr>
        <w:tabs>
          <w:tab w:val="left" w:pos="3105"/>
          <w:tab w:val="left" w:pos="4089"/>
          <w:tab w:val="left" w:pos="5387"/>
        </w:tabs>
        <w:suppressAutoHyphens/>
        <w:autoSpaceDE w:val="0"/>
        <w:autoSpaceDN w:val="0"/>
        <w:adjustRightInd w:val="0"/>
        <w:spacing w:line="276" w:lineRule="auto"/>
        <w:jc w:val="both"/>
        <w:textAlignment w:val="center"/>
        <w:rPr>
          <w:rFonts w:cs="Arial"/>
          <w:b/>
          <w:szCs w:val="22"/>
        </w:rPr>
      </w:pPr>
      <w:r w:rsidRPr="00F463BF">
        <w:rPr>
          <w:rFonts w:cs="Arial"/>
          <w:b/>
          <w:szCs w:val="22"/>
        </w:rPr>
        <w:t>About AstraZeneca in Oncology</w:t>
      </w:r>
    </w:p>
    <w:p w14:paraId="249165DA" w14:textId="77777777" w:rsidR="006524B3" w:rsidRPr="00596484" w:rsidRDefault="006524B3" w:rsidP="00F463BF">
      <w:pPr>
        <w:pStyle w:val="Boldbodytext"/>
        <w:spacing w:line="276" w:lineRule="auto"/>
        <w:jc w:val="both"/>
        <w:rPr>
          <w:bCs w:val="0"/>
          <w:color w:val="auto"/>
        </w:rPr>
      </w:pPr>
      <w:r w:rsidRPr="00596484">
        <w:rPr>
          <w:b w:val="0"/>
          <w:bCs w:val="0"/>
          <w:color w:val="auto"/>
        </w:rPr>
        <w:t xml:space="preserve">AstraZeneca has a deep-rooted heritage in Oncology and offers a quickly-growing portfolio of new medicines that has the potential to transform patients’ lives and the Company’s future. With at least six new medicines to be launched between 2014 and 2020, and a broad pipeline of small molecules and biologics in development, we are committed to advance Oncology as one of AstraZeneca’s four Growth Platforms focused on lung, ovarian, breast and blood cancers. In addition to our core capabilities, we actively pursue innovative partnerships and investments that accelerate the delivery of our strategy, as illustrated by our investment in </w:t>
      </w:r>
      <w:proofErr w:type="spellStart"/>
      <w:r w:rsidRPr="00596484">
        <w:rPr>
          <w:b w:val="0"/>
          <w:bCs w:val="0"/>
          <w:color w:val="auto"/>
        </w:rPr>
        <w:t>Acerta</w:t>
      </w:r>
      <w:proofErr w:type="spellEnd"/>
      <w:r w:rsidRPr="00596484">
        <w:rPr>
          <w:b w:val="0"/>
          <w:bCs w:val="0"/>
          <w:color w:val="auto"/>
        </w:rPr>
        <w:t xml:space="preserve"> Pharma in haematology.</w:t>
      </w:r>
    </w:p>
    <w:p w14:paraId="78FD1523" w14:textId="77777777" w:rsidR="006524B3" w:rsidRPr="00596484" w:rsidRDefault="006524B3" w:rsidP="00F463BF">
      <w:pPr>
        <w:pStyle w:val="Boldbodytext"/>
        <w:spacing w:line="276" w:lineRule="auto"/>
        <w:jc w:val="both"/>
        <w:rPr>
          <w:bCs w:val="0"/>
          <w:color w:val="auto"/>
        </w:rPr>
      </w:pPr>
    </w:p>
    <w:p w14:paraId="2020E1B8" w14:textId="77777777" w:rsidR="006524B3" w:rsidRPr="00596484" w:rsidRDefault="006524B3" w:rsidP="00F463BF">
      <w:pPr>
        <w:pStyle w:val="Boldbodytext"/>
        <w:spacing w:line="276" w:lineRule="auto"/>
        <w:jc w:val="both"/>
        <w:rPr>
          <w:b w:val="0"/>
          <w:bCs w:val="0"/>
          <w:color w:val="auto"/>
        </w:rPr>
      </w:pPr>
      <w:r w:rsidRPr="00596484">
        <w:rPr>
          <w:b w:val="0"/>
          <w:bCs w:val="0"/>
          <w:color w:val="auto"/>
        </w:rPr>
        <w:t>By harnessing the power of four scientific platforms – Immuno-Oncology, Tumour Drivers and Resistance, DNA Damage Response and Antibody Drug Conjugates – and by championing the development of personalised combinations, AstraZeneca has the vision to redefine cancer treatment and one day eliminate cancer as a cause of death.</w:t>
      </w:r>
    </w:p>
    <w:p w14:paraId="71A2B7F6" w14:textId="53556DAD" w:rsidR="00867CD7" w:rsidRPr="00596484" w:rsidRDefault="00867CD7" w:rsidP="00596484">
      <w:pPr>
        <w:pStyle w:val="Boldbodytext"/>
        <w:spacing w:line="276" w:lineRule="auto"/>
        <w:jc w:val="both"/>
        <w:rPr>
          <w:b w:val="0"/>
          <w:bCs w:val="0"/>
          <w:color w:val="auto"/>
        </w:rPr>
      </w:pPr>
    </w:p>
    <w:p w14:paraId="0E2C5D98" w14:textId="77777777" w:rsidR="00867CD7" w:rsidRPr="00596484" w:rsidRDefault="00867CD7" w:rsidP="00596484">
      <w:pPr>
        <w:spacing w:line="276" w:lineRule="auto"/>
        <w:jc w:val="both"/>
        <w:rPr>
          <w:rFonts w:cs="Arial"/>
          <w:b/>
          <w:bCs/>
          <w:szCs w:val="22"/>
          <w:lang w:eastAsia="en-GB"/>
        </w:rPr>
      </w:pPr>
      <w:r w:rsidRPr="00596484">
        <w:rPr>
          <w:rFonts w:cs="Arial"/>
          <w:b/>
          <w:bCs/>
          <w:szCs w:val="22"/>
          <w:lang w:eastAsia="en-GB"/>
        </w:rPr>
        <w:t xml:space="preserve">About AstraZeneca </w:t>
      </w:r>
    </w:p>
    <w:p w14:paraId="0F5D6D07" w14:textId="27028E10" w:rsidR="00867CD7" w:rsidRPr="00596484" w:rsidRDefault="00867CD7" w:rsidP="00596484">
      <w:pPr>
        <w:pStyle w:val="Boldbodytext"/>
        <w:spacing w:line="276" w:lineRule="auto"/>
        <w:jc w:val="both"/>
        <w:rPr>
          <w:b w:val="0"/>
          <w:bCs w:val="0"/>
        </w:rPr>
      </w:pPr>
      <w:r w:rsidRPr="00596484">
        <w:rPr>
          <w:b w:val="0"/>
          <w:bCs w:val="0"/>
          <w:color w:val="auto"/>
        </w:rPr>
        <w:t>AstraZeneca is a global, science-led biopharmaceutical company that focuses on the discovery, development and commercialisation of prescription medicines, primarily for the treatment of diseases in three therapy areas - Oncology, Cardiovascular, Renal &amp; Metabolism and Respiratory. AstraZeneca operates in over 100 countries and its innovative medicines are used by millions of patients worldwide</w:t>
      </w:r>
      <w:r w:rsidRPr="00596484">
        <w:rPr>
          <w:b w:val="0"/>
          <w:bCs w:val="0"/>
        </w:rPr>
        <w:t>. For more information, please visit</w:t>
      </w:r>
      <w:hyperlink r:id="rId14" w:history="1">
        <w:r w:rsidRPr="00596484">
          <w:rPr>
            <w:rStyle w:val="Hyperlink"/>
            <w:b w:val="0"/>
            <w:bCs w:val="0"/>
          </w:rPr>
          <w:t xml:space="preserve"> astrazeneca.com</w:t>
        </w:r>
      </w:hyperlink>
      <w:r w:rsidRPr="00596484">
        <w:rPr>
          <w:b w:val="0"/>
          <w:bCs w:val="0"/>
        </w:rPr>
        <w:t xml:space="preserve"> and follow us on </w:t>
      </w:r>
      <w:r w:rsidRPr="00596484">
        <w:rPr>
          <w:rStyle w:val="Hyperlink"/>
          <w:b w:val="0"/>
          <w:bCs w:val="0"/>
        </w:rPr>
        <w:t>Twitter @AstraZeneca</w:t>
      </w:r>
      <w:r w:rsidR="00F463BF" w:rsidRPr="00596484">
        <w:rPr>
          <w:rStyle w:val="Hyperlink"/>
          <w:b w:val="0"/>
          <w:bCs w:val="0"/>
        </w:rPr>
        <w:t>.</w:t>
      </w:r>
    </w:p>
    <w:p w14:paraId="33F23258" w14:textId="77777777" w:rsidR="00AD5A19" w:rsidRPr="00F65D5A" w:rsidRDefault="00AD5A19" w:rsidP="000B15BF">
      <w:pPr>
        <w:jc w:val="both"/>
        <w:rPr>
          <w:rFonts w:eastAsia="Arial" w:cs="Arial"/>
          <w:color w:val="0000FF"/>
          <w:szCs w:val="22"/>
        </w:rPr>
      </w:pPr>
    </w:p>
    <w:tbl>
      <w:tblPr>
        <w:tblStyle w:val="TableGrid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4"/>
        <w:gridCol w:w="3950"/>
        <w:gridCol w:w="1973"/>
      </w:tblGrid>
      <w:tr w:rsidR="00AD5A19" w:rsidRPr="00091092" w14:paraId="1298FE34" w14:textId="77777777" w:rsidTr="00E30F49">
        <w:trPr>
          <w:trHeight w:val="423"/>
        </w:trPr>
        <w:tc>
          <w:tcPr>
            <w:tcW w:w="1719" w:type="pct"/>
            <w:vAlign w:val="center"/>
            <w:hideMark/>
          </w:tcPr>
          <w:p w14:paraId="6D8230BC" w14:textId="77777777" w:rsidR="00AD5A19" w:rsidRPr="00091092" w:rsidRDefault="00AD5A19" w:rsidP="000B15BF">
            <w:pPr>
              <w:keepNext/>
              <w:ind w:hanging="110"/>
              <w:jc w:val="both"/>
              <w:outlineLvl w:val="6"/>
              <w:rPr>
                <w:rFonts w:cs="Arial"/>
                <w:b/>
                <w:bCs/>
                <w:sz w:val="20"/>
                <w:szCs w:val="20"/>
                <w:lang w:eastAsia="en-GB"/>
              </w:rPr>
            </w:pPr>
            <w:r w:rsidRPr="00091092">
              <w:rPr>
                <w:rFonts w:cs="Arial"/>
                <w:b/>
                <w:bCs/>
                <w:sz w:val="20"/>
                <w:szCs w:val="20"/>
                <w:lang w:eastAsia="en-GB"/>
              </w:rPr>
              <w:t>Media Relations</w:t>
            </w:r>
          </w:p>
        </w:tc>
        <w:tc>
          <w:tcPr>
            <w:tcW w:w="2188" w:type="pct"/>
            <w:vAlign w:val="center"/>
          </w:tcPr>
          <w:p w14:paraId="3694832D" w14:textId="77777777" w:rsidR="00AD5A19" w:rsidRPr="00091092" w:rsidRDefault="00AD5A19" w:rsidP="000B15BF">
            <w:pPr>
              <w:tabs>
                <w:tab w:val="center" w:pos="4513"/>
                <w:tab w:val="right" w:pos="9026"/>
              </w:tabs>
              <w:jc w:val="both"/>
              <w:rPr>
                <w:rFonts w:cs="Arial"/>
                <w:bCs/>
                <w:sz w:val="20"/>
                <w:szCs w:val="20"/>
                <w:lang w:eastAsia="en-GB"/>
              </w:rPr>
            </w:pPr>
          </w:p>
        </w:tc>
        <w:tc>
          <w:tcPr>
            <w:tcW w:w="1093" w:type="pct"/>
            <w:vAlign w:val="center"/>
          </w:tcPr>
          <w:p w14:paraId="7A7917F5" w14:textId="77777777" w:rsidR="00AD5A19" w:rsidRPr="00091092" w:rsidRDefault="00AD5A19" w:rsidP="000B15BF">
            <w:pPr>
              <w:tabs>
                <w:tab w:val="center" w:pos="4513"/>
                <w:tab w:val="right" w:pos="9026"/>
              </w:tabs>
              <w:jc w:val="both"/>
              <w:rPr>
                <w:rFonts w:cs="Arial"/>
                <w:sz w:val="20"/>
                <w:szCs w:val="20"/>
                <w:lang w:eastAsia="en-GB"/>
              </w:rPr>
            </w:pPr>
          </w:p>
        </w:tc>
      </w:tr>
      <w:tr w:rsidR="00AD5A19" w:rsidRPr="00091092" w14:paraId="54FEDF72" w14:textId="77777777" w:rsidTr="00E30F49">
        <w:trPr>
          <w:trHeight w:val="397"/>
        </w:trPr>
        <w:tc>
          <w:tcPr>
            <w:tcW w:w="1719" w:type="pct"/>
            <w:shd w:val="clear" w:color="auto" w:fill="D9D9D9" w:themeFill="background1" w:themeFillShade="D9"/>
            <w:vAlign w:val="center"/>
            <w:hideMark/>
          </w:tcPr>
          <w:p w14:paraId="125CCF75" w14:textId="77777777" w:rsidR="00AD5A19" w:rsidRPr="00091092" w:rsidRDefault="00AD5A19" w:rsidP="000B15BF">
            <w:pPr>
              <w:ind w:hanging="110"/>
              <w:jc w:val="both"/>
              <w:rPr>
                <w:rFonts w:cs="Arial"/>
                <w:sz w:val="20"/>
                <w:szCs w:val="20"/>
                <w:lang w:eastAsia="en-GB"/>
              </w:rPr>
            </w:pPr>
            <w:r w:rsidRPr="00091092">
              <w:rPr>
                <w:rFonts w:cs="Arial"/>
                <w:sz w:val="20"/>
                <w:szCs w:val="20"/>
                <w:lang w:eastAsia="en-GB"/>
              </w:rPr>
              <w:t xml:space="preserve">Gonzalo Viña </w:t>
            </w:r>
          </w:p>
        </w:tc>
        <w:tc>
          <w:tcPr>
            <w:tcW w:w="2188" w:type="pct"/>
            <w:shd w:val="clear" w:color="auto" w:fill="D9D9D9" w:themeFill="background1" w:themeFillShade="D9"/>
            <w:vAlign w:val="center"/>
            <w:hideMark/>
          </w:tcPr>
          <w:p w14:paraId="0D8F88AF" w14:textId="77777777" w:rsidR="00AD5A19" w:rsidRPr="00091092" w:rsidRDefault="00AD5A19" w:rsidP="000B15BF">
            <w:pPr>
              <w:jc w:val="both"/>
              <w:rPr>
                <w:rFonts w:cs="Arial"/>
                <w:sz w:val="20"/>
                <w:szCs w:val="20"/>
                <w:lang w:eastAsia="en-GB"/>
              </w:rPr>
            </w:pPr>
          </w:p>
        </w:tc>
        <w:tc>
          <w:tcPr>
            <w:tcW w:w="1093" w:type="pct"/>
            <w:shd w:val="clear" w:color="auto" w:fill="D9D9D9" w:themeFill="background1" w:themeFillShade="D9"/>
            <w:vAlign w:val="center"/>
            <w:hideMark/>
          </w:tcPr>
          <w:p w14:paraId="567B587F" w14:textId="77777777" w:rsidR="00AD5A19" w:rsidRPr="00091092" w:rsidRDefault="00AD5A19" w:rsidP="000B15BF">
            <w:pPr>
              <w:jc w:val="both"/>
              <w:rPr>
                <w:rFonts w:cs="Arial"/>
                <w:sz w:val="20"/>
                <w:szCs w:val="20"/>
                <w:lang w:eastAsia="en-GB"/>
              </w:rPr>
            </w:pPr>
            <w:r w:rsidRPr="00091092">
              <w:rPr>
                <w:rFonts w:cs="Arial"/>
                <w:sz w:val="20"/>
                <w:szCs w:val="20"/>
                <w:lang w:eastAsia="en-GB"/>
              </w:rPr>
              <w:t>+44 203 749 5916</w:t>
            </w:r>
          </w:p>
        </w:tc>
      </w:tr>
      <w:tr w:rsidR="00AD5A19" w:rsidRPr="00091092" w14:paraId="1E3543BD" w14:textId="77777777" w:rsidTr="00E30F49">
        <w:trPr>
          <w:trHeight w:val="397"/>
        </w:trPr>
        <w:tc>
          <w:tcPr>
            <w:tcW w:w="1719" w:type="pct"/>
            <w:shd w:val="clear" w:color="auto" w:fill="auto"/>
            <w:vAlign w:val="center"/>
          </w:tcPr>
          <w:p w14:paraId="50CEF40D" w14:textId="77777777" w:rsidR="00AD5A19" w:rsidRPr="00091092" w:rsidRDefault="00AD5A19" w:rsidP="000B15BF">
            <w:pPr>
              <w:ind w:hanging="110"/>
              <w:jc w:val="both"/>
              <w:rPr>
                <w:rFonts w:cs="Arial"/>
                <w:sz w:val="20"/>
                <w:szCs w:val="20"/>
                <w:lang w:eastAsia="en-GB"/>
              </w:rPr>
            </w:pPr>
            <w:r w:rsidRPr="00091092">
              <w:rPr>
                <w:rFonts w:cs="Arial"/>
                <w:sz w:val="20"/>
                <w:szCs w:val="20"/>
                <w:lang w:eastAsia="en-GB"/>
              </w:rPr>
              <w:t>Rob Skelding</w:t>
            </w:r>
          </w:p>
        </w:tc>
        <w:tc>
          <w:tcPr>
            <w:tcW w:w="2188" w:type="pct"/>
            <w:shd w:val="clear" w:color="auto" w:fill="auto"/>
            <w:vAlign w:val="center"/>
          </w:tcPr>
          <w:p w14:paraId="2E75762F" w14:textId="77777777" w:rsidR="00AD5A19" w:rsidRPr="00091092" w:rsidRDefault="00AD5A19" w:rsidP="000B15BF">
            <w:pPr>
              <w:jc w:val="both"/>
              <w:rPr>
                <w:rFonts w:cs="Arial"/>
                <w:sz w:val="20"/>
                <w:szCs w:val="20"/>
                <w:lang w:eastAsia="en-GB"/>
              </w:rPr>
            </w:pPr>
            <w:r w:rsidRPr="00091092">
              <w:rPr>
                <w:rFonts w:cs="Arial"/>
                <w:sz w:val="20"/>
                <w:szCs w:val="20"/>
                <w:lang w:eastAsia="en-GB"/>
              </w:rPr>
              <w:t>Oncology</w:t>
            </w:r>
          </w:p>
        </w:tc>
        <w:tc>
          <w:tcPr>
            <w:tcW w:w="1093" w:type="pct"/>
            <w:shd w:val="clear" w:color="auto" w:fill="auto"/>
            <w:vAlign w:val="center"/>
          </w:tcPr>
          <w:p w14:paraId="6B43AC48" w14:textId="77777777" w:rsidR="00AD5A19" w:rsidRPr="00091092" w:rsidRDefault="00AD5A19" w:rsidP="000B15BF">
            <w:pPr>
              <w:jc w:val="both"/>
              <w:rPr>
                <w:rFonts w:cs="Arial"/>
                <w:sz w:val="20"/>
                <w:szCs w:val="20"/>
                <w:lang w:eastAsia="en-GB"/>
              </w:rPr>
            </w:pPr>
            <w:r w:rsidRPr="00091092">
              <w:rPr>
                <w:rFonts w:cs="Arial"/>
                <w:sz w:val="20"/>
                <w:szCs w:val="20"/>
                <w:lang w:eastAsia="en-GB"/>
              </w:rPr>
              <w:t>+44 203 749 5821</w:t>
            </w:r>
          </w:p>
        </w:tc>
      </w:tr>
      <w:tr w:rsidR="00AD5A19" w:rsidRPr="00091092" w14:paraId="6AAA11A2" w14:textId="77777777" w:rsidTr="00E30F49">
        <w:trPr>
          <w:trHeight w:val="397"/>
        </w:trPr>
        <w:tc>
          <w:tcPr>
            <w:tcW w:w="1719" w:type="pct"/>
            <w:shd w:val="clear" w:color="auto" w:fill="D9D9D9" w:themeFill="background1" w:themeFillShade="D9"/>
            <w:vAlign w:val="center"/>
          </w:tcPr>
          <w:p w14:paraId="7C746D9E" w14:textId="77777777" w:rsidR="00AD5A19" w:rsidRPr="00091092" w:rsidRDefault="00AD5A19" w:rsidP="000B15BF">
            <w:pPr>
              <w:ind w:hanging="110"/>
              <w:jc w:val="both"/>
              <w:rPr>
                <w:rFonts w:cs="Arial"/>
                <w:sz w:val="20"/>
                <w:szCs w:val="20"/>
                <w:lang w:eastAsia="en-GB"/>
              </w:rPr>
            </w:pPr>
            <w:r w:rsidRPr="00091092">
              <w:rPr>
                <w:rFonts w:cs="Arial"/>
                <w:sz w:val="20"/>
                <w:szCs w:val="20"/>
                <w:lang w:eastAsia="en-GB"/>
              </w:rPr>
              <w:t>Rebecca Einhorn</w:t>
            </w:r>
          </w:p>
        </w:tc>
        <w:tc>
          <w:tcPr>
            <w:tcW w:w="2188" w:type="pct"/>
            <w:shd w:val="clear" w:color="auto" w:fill="D9D9D9" w:themeFill="background1" w:themeFillShade="D9"/>
            <w:vAlign w:val="center"/>
          </w:tcPr>
          <w:p w14:paraId="199E3CF0" w14:textId="77777777" w:rsidR="00AD5A19" w:rsidRPr="00091092" w:rsidDel="005E3B7C" w:rsidRDefault="00AD5A19" w:rsidP="000B15BF">
            <w:pPr>
              <w:jc w:val="both"/>
              <w:rPr>
                <w:rFonts w:cs="Arial"/>
                <w:sz w:val="20"/>
                <w:szCs w:val="20"/>
                <w:lang w:eastAsia="en-GB"/>
              </w:rPr>
            </w:pPr>
            <w:r w:rsidRPr="00091092">
              <w:rPr>
                <w:rFonts w:cs="Arial"/>
                <w:sz w:val="20"/>
                <w:szCs w:val="20"/>
                <w:lang w:eastAsia="en-GB"/>
              </w:rPr>
              <w:t>Oncology</w:t>
            </w:r>
          </w:p>
        </w:tc>
        <w:tc>
          <w:tcPr>
            <w:tcW w:w="1093" w:type="pct"/>
            <w:shd w:val="clear" w:color="auto" w:fill="D9D9D9" w:themeFill="background1" w:themeFillShade="D9"/>
            <w:vAlign w:val="center"/>
          </w:tcPr>
          <w:p w14:paraId="66948473" w14:textId="77777777" w:rsidR="00AD5A19" w:rsidRPr="00091092" w:rsidRDefault="00AD5A19" w:rsidP="000B15BF">
            <w:pPr>
              <w:jc w:val="both"/>
              <w:rPr>
                <w:rFonts w:cs="Arial"/>
                <w:sz w:val="20"/>
                <w:szCs w:val="20"/>
                <w:lang w:eastAsia="en-GB"/>
              </w:rPr>
            </w:pPr>
            <w:r w:rsidRPr="00091092">
              <w:rPr>
                <w:rFonts w:cs="Arial"/>
                <w:sz w:val="20"/>
                <w:szCs w:val="20"/>
                <w:lang w:eastAsia="en-GB"/>
              </w:rPr>
              <w:t>+1 301 518 4122</w:t>
            </w:r>
          </w:p>
        </w:tc>
      </w:tr>
      <w:tr w:rsidR="00AD5A19" w:rsidRPr="00091092" w14:paraId="36FEBF40" w14:textId="77777777" w:rsidTr="00E30F49">
        <w:trPr>
          <w:trHeight w:val="397"/>
        </w:trPr>
        <w:tc>
          <w:tcPr>
            <w:tcW w:w="1719" w:type="pct"/>
            <w:shd w:val="clear" w:color="auto" w:fill="auto"/>
            <w:vAlign w:val="center"/>
            <w:hideMark/>
          </w:tcPr>
          <w:p w14:paraId="1973563C" w14:textId="77777777" w:rsidR="00AD5A19" w:rsidRPr="00091092" w:rsidRDefault="00AD5A19" w:rsidP="000B15BF">
            <w:pPr>
              <w:ind w:hanging="110"/>
              <w:jc w:val="both"/>
              <w:rPr>
                <w:rFonts w:cs="Arial"/>
                <w:sz w:val="20"/>
                <w:szCs w:val="20"/>
                <w:lang w:eastAsia="en-GB"/>
              </w:rPr>
            </w:pPr>
            <w:r w:rsidRPr="00091092">
              <w:rPr>
                <w:rFonts w:cs="Arial"/>
                <w:sz w:val="20"/>
                <w:szCs w:val="20"/>
                <w:lang w:eastAsia="en-GB"/>
              </w:rPr>
              <w:t>Matt Kent</w:t>
            </w:r>
          </w:p>
        </w:tc>
        <w:tc>
          <w:tcPr>
            <w:tcW w:w="2188" w:type="pct"/>
            <w:shd w:val="clear" w:color="auto" w:fill="auto"/>
            <w:vAlign w:val="center"/>
            <w:hideMark/>
          </w:tcPr>
          <w:p w14:paraId="78C0023A" w14:textId="77777777" w:rsidR="00AD5A19" w:rsidRPr="00091092" w:rsidRDefault="00AD5A19" w:rsidP="000B15BF">
            <w:pPr>
              <w:jc w:val="both"/>
              <w:rPr>
                <w:rFonts w:cs="Arial"/>
                <w:sz w:val="20"/>
                <w:szCs w:val="20"/>
                <w:lang w:eastAsia="en-GB"/>
              </w:rPr>
            </w:pPr>
            <w:proofErr w:type="spellStart"/>
            <w:r w:rsidRPr="00091092">
              <w:rPr>
                <w:rFonts w:cs="Arial"/>
                <w:sz w:val="20"/>
                <w:szCs w:val="20"/>
                <w:lang w:eastAsia="en-GB"/>
              </w:rPr>
              <w:t>BioPharma</w:t>
            </w:r>
            <w:proofErr w:type="spellEnd"/>
          </w:p>
        </w:tc>
        <w:tc>
          <w:tcPr>
            <w:tcW w:w="1093" w:type="pct"/>
            <w:shd w:val="clear" w:color="auto" w:fill="auto"/>
            <w:vAlign w:val="center"/>
            <w:hideMark/>
          </w:tcPr>
          <w:p w14:paraId="79226161" w14:textId="77777777" w:rsidR="00AD5A19" w:rsidRPr="00091092" w:rsidRDefault="00AD5A19" w:rsidP="000B15BF">
            <w:pPr>
              <w:jc w:val="both"/>
              <w:rPr>
                <w:rFonts w:cs="Arial"/>
                <w:sz w:val="20"/>
                <w:szCs w:val="20"/>
                <w:lang w:eastAsia="en-GB"/>
              </w:rPr>
            </w:pPr>
            <w:r w:rsidRPr="00091092">
              <w:rPr>
                <w:rFonts w:cs="Arial"/>
                <w:sz w:val="20"/>
                <w:szCs w:val="20"/>
                <w:lang w:eastAsia="en-GB"/>
              </w:rPr>
              <w:t>+44 203 749 5906</w:t>
            </w:r>
          </w:p>
        </w:tc>
      </w:tr>
      <w:tr w:rsidR="00AD5A19" w:rsidRPr="00091092" w14:paraId="2DC754BB" w14:textId="77777777" w:rsidTr="00E30F49">
        <w:trPr>
          <w:trHeight w:val="397"/>
        </w:trPr>
        <w:tc>
          <w:tcPr>
            <w:tcW w:w="1719" w:type="pct"/>
            <w:shd w:val="clear" w:color="auto" w:fill="D9D9D9" w:themeFill="background1" w:themeFillShade="D9"/>
            <w:vAlign w:val="center"/>
            <w:hideMark/>
          </w:tcPr>
          <w:p w14:paraId="65FBBB36" w14:textId="77777777" w:rsidR="00AD5A19" w:rsidRPr="00091092" w:rsidRDefault="00AD5A19" w:rsidP="000B15BF">
            <w:pPr>
              <w:ind w:hanging="110"/>
              <w:jc w:val="both"/>
              <w:rPr>
                <w:rFonts w:cs="Arial"/>
                <w:sz w:val="20"/>
                <w:szCs w:val="20"/>
                <w:lang w:eastAsia="en-GB"/>
              </w:rPr>
            </w:pPr>
            <w:r w:rsidRPr="00091092">
              <w:rPr>
                <w:rFonts w:cs="Arial"/>
                <w:sz w:val="20"/>
                <w:szCs w:val="20"/>
                <w:lang w:eastAsia="en-GB"/>
              </w:rPr>
              <w:t>Jennifer Hursit</w:t>
            </w:r>
          </w:p>
        </w:tc>
        <w:tc>
          <w:tcPr>
            <w:tcW w:w="2188" w:type="pct"/>
            <w:shd w:val="clear" w:color="auto" w:fill="D9D9D9" w:themeFill="background1" w:themeFillShade="D9"/>
            <w:vAlign w:val="center"/>
            <w:hideMark/>
          </w:tcPr>
          <w:p w14:paraId="0549F2F8" w14:textId="77777777" w:rsidR="00AD5A19" w:rsidRPr="00091092" w:rsidRDefault="00AD5A19" w:rsidP="000B15BF">
            <w:pPr>
              <w:jc w:val="both"/>
              <w:rPr>
                <w:rFonts w:cs="Arial"/>
                <w:sz w:val="20"/>
                <w:szCs w:val="20"/>
                <w:lang w:eastAsia="en-GB"/>
              </w:rPr>
            </w:pPr>
            <w:r w:rsidRPr="00091092">
              <w:rPr>
                <w:rFonts w:cs="Arial"/>
                <w:sz w:val="20"/>
                <w:szCs w:val="20"/>
                <w:lang w:eastAsia="en-GB"/>
              </w:rPr>
              <w:t xml:space="preserve">Other </w:t>
            </w:r>
          </w:p>
        </w:tc>
        <w:tc>
          <w:tcPr>
            <w:tcW w:w="1093" w:type="pct"/>
            <w:shd w:val="clear" w:color="auto" w:fill="D9D9D9" w:themeFill="background1" w:themeFillShade="D9"/>
            <w:vAlign w:val="center"/>
            <w:hideMark/>
          </w:tcPr>
          <w:p w14:paraId="00FABA3D" w14:textId="77777777" w:rsidR="00AD5A19" w:rsidRPr="00091092" w:rsidRDefault="00AD5A19" w:rsidP="000B15BF">
            <w:pPr>
              <w:jc w:val="both"/>
              <w:rPr>
                <w:rFonts w:cs="Arial"/>
                <w:sz w:val="20"/>
                <w:szCs w:val="20"/>
                <w:lang w:eastAsia="en-GB"/>
              </w:rPr>
            </w:pPr>
            <w:r w:rsidRPr="00091092">
              <w:rPr>
                <w:rFonts w:cs="Arial"/>
                <w:sz w:val="20"/>
                <w:szCs w:val="20"/>
                <w:lang w:eastAsia="en-GB"/>
              </w:rPr>
              <w:t>+44 203 749 5762</w:t>
            </w:r>
          </w:p>
        </w:tc>
      </w:tr>
      <w:tr w:rsidR="00AD5A19" w:rsidRPr="00091092" w14:paraId="6F6E781A" w14:textId="77777777" w:rsidTr="00E30F49">
        <w:trPr>
          <w:trHeight w:val="397"/>
        </w:trPr>
        <w:tc>
          <w:tcPr>
            <w:tcW w:w="1719" w:type="pct"/>
            <w:shd w:val="clear" w:color="auto" w:fill="auto"/>
            <w:vAlign w:val="center"/>
            <w:hideMark/>
          </w:tcPr>
          <w:p w14:paraId="530A67F8" w14:textId="77777777" w:rsidR="00AD5A19" w:rsidRPr="00091092" w:rsidRDefault="00AD5A19" w:rsidP="000B15BF">
            <w:pPr>
              <w:ind w:hanging="110"/>
              <w:jc w:val="both"/>
              <w:rPr>
                <w:rFonts w:cs="Arial"/>
                <w:sz w:val="20"/>
                <w:szCs w:val="20"/>
                <w:lang w:eastAsia="en-GB"/>
              </w:rPr>
            </w:pPr>
            <w:r w:rsidRPr="00091092">
              <w:rPr>
                <w:rFonts w:cs="Arial"/>
                <w:sz w:val="20"/>
                <w:szCs w:val="20"/>
                <w:lang w:eastAsia="en-GB"/>
              </w:rPr>
              <w:t>Christina Malmberg Hägerstrand</w:t>
            </w:r>
          </w:p>
        </w:tc>
        <w:tc>
          <w:tcPr>
            <w:tcW w:w="2188" w:type="pct"/>
            <w:shd w:val="clear" w:color="auto" w:fill="auto"/>
            <w:vAlign w:val="center"/>
            <w:hideMark/>
          </w:tcPr>
          <w:p w14:paraId="514378DC" w14:textId="77777777" w:rsidR="00AD5A19" w:rsidRPr="00091092" w:rsidRDefault="00AD5A19" w:rsidP="000B15BF">
            <w:pPr>
              <w:jc w:val="both"/>
              <w:rPr>
                <w:rFonts w:cs="Arial"/>
                <w:sz w:val="20"/>
                <w:szCs w:val="20"/>
                <w:lang w:eastAsia="en-GB"/>
              </w:rPr>
            </w:pPr>
            <w:r w:rsidRPr="00091092">
              <w:rPr>
                <w:rFonts w:cs="Arial"/>
                <w:sz w:val="20"/>
                <w:szCs w:val="20"/>
                <w:lang w:eastAsia="en-GB"/>
              </w:rPr>
              <w:t>Sweden</w:t>
            </w:r>
          </w:p>
        </w:tc>
        <w:tc>
          <w:tcPr>
            <w:tcW w:w="1093" w:type="pct"/>
            <w:shd w:val="clear" w:color="auto" w:fill="auto"/>
            <w:vAlign w:val="center"/>
            <w:hideMark/>
          </w:tcPr>
          <w:p w14:paraId="24807753" w14:textId="77777777" w:rsidR="00AD5A19" w:rsidRPr="00091092" w:rsidRDefault="00AD5A19" w:rsidP="000B15BF">
            <w:pPr>
              <w:jc w:val="both"/>
              <w:rPr>
                <w:rFonts w:cs="Arial"/>
                <w:sz w:val="20"/>
                <w:szCs w:val="20"/>
                <w:lang w:eastAsia="en-GB"/>
              </w:rPr>
            </w:pPr>
            <w:r w:rsidRPr="00091092">
              <w:rPr>
                <w:rFonts w:cs="Arial"/>
                <w:color w:val="000000"/>
                <w:sz w:val="20"/>
                <w:szCs w:val="20"/>
                <w:lang w:eastAsia="sv-SE"/>
              </w:rPr>
              <w:t>+46 8 552 53 106</w:t>
            </w:r>
          </w:p>
        </w:tc>
      </w:tr>
      <w:tr w:rsidR="00AD5A19" w:rsidRPr="00091092" w14:paraId="6850143F" w14:textId="77777777" w:rsidTr="00E30F49">
        <w:trPr>
          <w:trHeight w:val="397"/>
        </w:trPr>
        <w:tc>
          <w:tcPr>
            <w:tcW w:w="1719" w:type="pct"/>
            <w:shd w:val="clear" w:color="auto" w:fill="D9D9D9" w:themeFill="background1" w:themeFillShade="D9"/>
            <w:vAlign w:val="center"/>
          </w:tcPr>
          <w:p w14:paraId="7C026C30" w14:textId="77777777" w:rsidR="00AD5A19" w:rsidRPr="00091092" w:rsidRDefault="00AD5A19" w:rsidP="000B15BF">
            <w:pPr>
              <w:ind w:hanging="110"/>
              <w:jc w:val="both"/>
              <w:rPr>
                <w:rFonts w:cs="Arial"/>
                <w:sz w:val="20"/>
                <w:szCs w:val="20"/>
                <w:lang w:eastAsia="en-GB"/>
              </w:rPr>
            </w:pPr>
            <w:r w:rsidRPr="00091092">
              <w:rPr>
                <w:rFonts w:cs="Arial"/>
                <w:sz w:val="20"/>
                <w:szCs w:val="20"/>
                <w:lang w:eastAsia="en-GB"/>
              </w:rPr>
              <w:t>Michele Meixell</w:t>
            </w:r>
          </w:p>
        </w:tc>
        <w:tc>
          <w:tcPr>
            <w:tcW w:w="2188" w:type="pct"/>
            <w:shd w:val="clear" w:color="auto" w:fill="D9D9D9" w:themeFill="background1" w:themeFillShade="D9"/>
            <w:vAlign w:val="center"/>
          </w:tcPr>
          <w:p w14:paraId="03FD5943" w14:textId="77777777" w:rsidR="00AD5A19" w:rsidRPr="00091092" w:rsidRDefault="00AD5A19" w:rsidP="000B15BF">
            <w:pPr>
              <w:jc w:val="both"/>
              <w:rPr>
                <w:rFonts w:cs="Arial"/>
                <w:sz w:val="20"/>
                <w:szCs w:val="20"/>
                <w:lang w:eastAsia="en-GB"/>
              </w:rPr>
            </w:pPr>
            <w:r w:rsidRPr="00091092">
              <w:rPr>
                <w:rFonts w:cs="Arial"/>
                <w:sz w:val="20"/>
                <w:szCs w:val="20"/>
                <w:lang w:eastAsia="en-GB"/>
              </w:rPr>
              <w:t>US</w:t>
            </w:r>
          </w:p>
        </w:tc>
        <w:tc>
          <w:tcPr>
            <w:tcW w:w="1093" w:type="pct"/>
            <w:shd w:val="clear" w:color="auto" w:fill="D9D9D9" w:themeFill="background1" w:themeFillShade="D9"/>
            <w:vAlign w:val="center"/>
          </w:tcPr>
          <w:p w14:paraId="29562181" w14:textId="77777777" w:rsidR="00AD5A19" w:rsidRPr="00091092" w:rsidRDefault="00AD5A19" w:rsidP="000B15BF">
            <w:pPr>
              <w:jc w:val="both"/>
              <w:rPr>
                <w:rFonts w:cs="Arial"/>
                <w:sz w:val="20"/>
                <w:szCs w:val="20"/>
                <w:lang w:eastAsia="en-GB"/>
              </w:rPr>
            </w:pPr>
            <w:r w:rsidRPr="00091092">
              <w:rPr>
                <w:rFonts w:cs="Arial"/>
                <w:sz w:val="20"/>
                <w:szCs w:val="20"/>
                <w:lang w:eastAsia="en-GB"/>
              </w:rPr>
              <w:t>+1 302 885 2677</w:t>
            </w:r>
          </w:p>
        </w:tc>
      </w:tr>
      <w:tr w:rsidR="00AD5A19" w:rsidRPr="00091092" w14:paraId="32FCCD15" w14:textId="77777777" w:rsidTr="00E30F49">
        <w:trPr>
          <w:trHeight w:val="397"/>
        </w:trPr>
        <w:tc>
          <w:tcPr>
            <w:tcW w:w="1719" w:type="pct"/>
            <w:vAlign w:val="center"/>
          </w:tcPr>
          <w:p w14:paraId="6325B28A" w14:textId="77777777" w:rsidR="00AD5A19" w:rsidRPr="00091092" w:rsidRDefault="00AD5A19" w:rsidP="000B15BF">
            <w:pPr>
              <w:keepNext/>
              <w:ind w:hanging="110"/>
              <w:jc w:val="both"/>
              <w:outlineLvl w:val="6"/>
              <w:rPr>
                <w:rFonts w:cs="Arial"/>
                <w:sz w:val="20"/>
                <w:szCs w:val="20"/>
                <w:lang w:eastAsia="en-GB"/>
              </w:rPr>
            </w:pPr>
          </w:p>
          <w:p w14:paraId="383F496D" w14:textId="77777777" w:rsidR="00AD5A19" w:rsidRPr="00091092" w:rsidRDefault="00AD5A19" w:rsidP="000B15BF">
            <w:pPr>
              <w:keepNext/>
              <w:ind w:hanging="110"/>
              <w:jc w:val="both"/>
              <w:outlineLvl w:val="6"/>
              <w:rPr>
                <w:rFonts w:cs="Arial"/>
                <w:sz w:val="20"/>
                <w:szCs w:val="20"/>
                <w:lang w:eastAsia="en-GB"/>
              </w:rPr>
            </w:pPr>
            <w:r w:rsidRPr="00091092">
              <w:rPr>
                <w:rFonts w:cs="Arial"/>
                <w:b/>
                <w:sz w:val="20"/>
                <w:szCs w:val="20"/>
                <w:lang w:eastAsia="en-GB"/>
              </w:rPr>
              <w:t>Investor Relations</w:t>
            </w:r>
          </w:p>
        </w:tc>
        <w:tc>
          <w:tcPr>
            <w:tcW w:w="2188" w:type="pct"/>
            <w:vAlign w:val="center"/>
          </w:tcPr>
          <w:p w14:paraId="6EF0A6A6" w14:textId="77777777" w:rsidR="00AD5A19" w:rsidRPr="00091092" w:rsidRDefault="00AD5A19" w:rsidP="000B15BF">
            <w:pPr>
              <w:jc w:val="both"/>
              <w:rPr>
                <w:rFonts w:cs="Arial"/>
                <w:sz w:val="20"/>
                <w:szCs w:val="20"/>
                <w:lang w:eastAsia="en-GB"/>
              </w:rPr>
            </w:pPr>
          </w:p>
        </w:tc>
        <w:tc>
          <w:tcPr>
            <w:tcW w:w="1093" w:type="pct"/>
            <w:vAlign w:val="center"/>
          </w:tcPr>
          <w:p w14:paraId="21361628" w14:textId="77777777" w:rsidR="00AD5A19" w:rsidRPr="00091092" w:rsidRDefault="00AD5A19" w:rsidP="000B15BF">
            <w:pPr>
              <w:jc w:val="both"/>
              <w:rPr>
                <w:rFonts w:cs="Arial"/>
                <w:sz w:val="20"/>
                <w:szCs w:val="20"/>
                <w:lang w:eastAsia="en-GB"/>
              </w:rPr>
            </w:pPr>
          </w:p>
        </w:tc>
      </w:tr>
      <w:tr w:rsidR="00AD5A19" w:rsidRPr="00091092" w14:paraId="28773981" w14:textId="77777777" w:rsidTr="00E30F49">
        <w:trPr>
          <w:trHeight w:val="397"/>
        </w:trPr>
        <w:tc>
          <w:tcPr>
            <w:tcW w:w="1719" w:type="pct"/>
            <w:shd w:val="clear" w:color="auto" w:fill="D9D9D9" w:themeFill="background1" w:themeFillShade="D9"/>
            <w:vAlign w:val="center"/>
            <w:hideMark/>
          </w:tcPr>
          <w:p w14:paraId="27545C39" w14:textId="77777777" w:rsidR="00AD5A19" w:rsidRPr="00091092" w:rsidRDefault="00AD5A19" w:rsidP="000B15BF">
            <w:pPr>
              <w:keepNext/>
              <w:ind w:hanging="110"/>
              <w:jc w:val="both"/>
              <w:outlineLvl w:val="6"/>
              <w:rPr>
                <w:rFonts w:cs="Arial"/>
                <w:sz w:val="20"/>
                <w:szCs w:val="20"/>
                <w:lang w:eastAsia="en-GB"/>
              </w:rPr>
            </w:pPr>
            <w:r w:rsidRPr="00091092">
              <w:rPr>
                <w:rFonts w:cs="Arial"/>
                <w:sz w:val="20"/>
                <w:szCs w:val="20"/>
                <w:lang w:eastAsia="en-GB"/>
              </w:rPr>
              <w:t>Thomas Kudsk Larsen</w:t>
            </w:r>
          </w:p>
        </w:tc>
        <w:tc>
          <w:tcPr>
            <w:tcW w:w="2188" w:type="pct"/>
            <w:shd w:val="clear" w:color="auto" w:fill="D9D9D9" w:themeFill="background1" w:themeFillShade="D9"/>
            <w:vAlign w:val="center"/>
          </w:tcPr>
          <w:p w14:paraId="6A62B605" w14:textId="77777777" w:rsidR="00AD5A19" w:rsidRPr="00091092" w:rsidRDefault="00AD5A19" w:rsidP="000B15BF">
            <w:pPr>
              <w:jc w:val="both"/>
              <w:rPr>
                <w:rFonts w:cs="Arial"/>
                <w:sz w:val="20"/>
                <w:szCs w:val="20"/>
                <w:lang w:eastAsia="en-GB"/>
              </w:rPr>
            </w:pPr>
          </w:p>
        </w:tc>
        <w:tc>
          <w:tcPr>
            <w:tcW w:w="1093" w:type="pct"/>
            <w:shd w:val="clear" w:color="auto" w:fill="D9D9D9" w:themeFill="background1" w:themeFillShade="D9"/>
            <w:vAlign w:val="center"/>
          </w:tcPr>
          <w:p w14:paraId="67EDCA4F" w14:textId="77777777" w:rsidR="00AD5A19" w:rsidRPr="00091092" w:rsidRDefault="00AD5A19" w:rsidP="000B15BF">
            <w:pPr>
              <w:jc w:val="both"/>
              <w:rPr>
                <w:rFonts w:cs="Arial"/>
                <w:sz w:val="20"/>
                <w:szCs w:val="20"/>
                <w:lang w:eastAsia="en-GB"/>
              </w:rPr>
            </w:pPr>
            <w:r w:rsidRPr="00091092">
              <w:rPr>
                <w:rFonts w:cs="Arial"/>
                <w:sz w:val="20"/>
                <w:szCs w:val="20"/>
                <w:lang w:eastAsia="en-GB"/>
              </w:rPr>
              <w:t>+44 203 749 5712</w:t>
            </w:r>
          </w:p>
        </w:tc>
      </w:tr>
      <w:tr w:rsidR="00AD5A19" w:rsidRPr="00091092" w14:paraId="0EF57ABF" w14:textId="77777777" w:rsidTr="00E30F49">
        <w:trPr>
          <w:trHeight w:val="397"/>
        </w:trPr>
        <w:tc>
          <w:tcPr>
            <w:tcW w:w="1719" w:type="pct"/>
            <w:vAlign w:val="center"/>
            <w:hideMark/>
          </w:tcPr>
          <w:p w14:paraId="00E5C68F" w14:textId="77777777" w:rsidR="00AD5A19" w:rsidRPr="00091092" w:rsidRDefault="00AD5A19" w:rsidP="000B15BF">
            <w:pPr>
              <w:ind w:hanging="110"/>
              <w:jc w:val="both"/>
              <w:rPr>
                <w:rFonts w:cs="Arial"/>
                <w:sz w:val="20"/>
                <w:szCs w:val="20"/>
                <w:lang w:eastAsia="en-GB"/>
              </w:rPr>
            </w:pPr>
            <w:r w:rsidRPr="00091092">
              <w:rPr>
                <w:rFonts w:cs="Arial"/>
                <w:sz w:val="20"/>
                <w:szCs w:val="20"/>
                <w:lang w:eastAsia="en-GB"/>
              </w:rPr>
              <w:t>Henry Wheeler</w:t>
            </w:r>
          </w:p>
        </w:tc>
        <w:tc>
          <w:tcPr>
            <w:tcW w:w="2188" w:type="pct"/>
            <w:vAlign w:val="center"/>
          </w:tcPr>
          <w:p w14:paraId="09FF1460" w14:textId="77777777" w:rsidR="00AD5A19" w:rsidRPr="00091092" w:rsidRDefault="00AD5A19" w:rsidP="000B15BF">
            <w:pPr>
              <w:tabs>
                <w:tab w:val="left" w:pos="2410"/>
                <w:tab w:val="left" w:pos="3105"/>
                <w:tab w:val="left" w:pos="4089"/>
                <w:tab w:val="left" w:pos="4678"/>
                <w:tab w:val="left" w:pos="6133"/>
              </w:tabs>
              <w:suppressAutoHyphens/>
              <w:autoSpaceDE w:val="0"/>
              <w:autoSpaceDN w:val="0"/>
              <w:adjustRightInd w:val="0"/>
              <w:jc w:val="both"/>
              <w:textAlignment w:val="center"/>
              <w:rPr>
                <w:rFonts w:cs="Arial"/>
                <w:sz w:val="20"/>
                <w:szCs w:val="20"/>
                <w:lang w:eastAsia="en-GB"/>
              </w:rPr>
            </w:pPr>
            <w:r w:rsidRPr="00091092">
              <w:rPr>
                <w:rFonts w:cs="Arial"/>
                <w:sz w:val="20"/>
                <w:szCs w:val="20"/>
                <w:lang w:eastAsia="en-GB"/>
              </w:rPr>
              <w:t>Oncology</w:t>
            </w:r>
          </w:p>
        </w:tc>
        <w:tc>
          <w:tcPr>
            <w:tcW w:w="1093" w:type="pct"/>
            <w:vAlign w:val="center"/>
            <w:hideMark/>
          </w:tcPr>
          <w:p w14:paraId="19BD51BD" w14:textId="77777777" w:rsidR="00AD5A19" w:rsidRPr="00091092" w:rsidRDefault="00AD5A19" w:rsidP="000B15BF">
            <w:pPr>
              <w:jc w:val="both"/>
              <w:rPr>
                <w:rFonts w:cs="Arial"/>
                <w:sz w:val="20"/>
                <w:szCs w:val="20"/>
                <w:lang w:eastAsia="en-GB"/>
              </w:rPr>
            </w:pPr>
            <w:r w:rsidRPr="00091092">
              <w:rPr>
                <w:rFonts w:cs="Arial"/>
                <w:sz w:val="20"/>
                <w:szCs w:val="20"/>
                <w:lang w:eastAsia="en-GB"/>
              </w:rPr>
              <w:t>+44 203 749 5797</w:t>
            </w:r>
          </w:p>
        </w:tc>
      </w:tr>
      <w:tr w:rsidR="00AD5A19" w:rsidRPr="00091092" w14:paraId="76B41707" w14:textId="77777777" w:rsidTr="00E30F49">
        <w:trPr>
          <w:trHeight w:val="397"/>
        </w:trPr>
        <w:tc>
          <w:tcPr>
            <w:tcW w:w="1719" w:type="pct"/>
            <w:shd w:val="clear" w:color="auto" w:fill="D9D9D9" w:themeFill="background1" w:themeFillShade="D9"/>
            <w:vAlign w:val="center"/>
            <w:hideMark/>
          </w:tcPr>
          <w:p w14:paraId="7A729A42" w14:textId="77777777" w:rsidR="00AD5A19" w:rsidRPr="00091092" w:rsidRDefault="00AD5A19" w:rsidP="000B15BF">
            <w:pPr>
              <w:ind w:hanging="110"/>
              <w:jc w:val="both"/>
              <w:rPr>
                <w:rFonts w:cs="Arial"/>
                <w:sz w:val="20"/>
                <w:szCs w:val="20"/>
                <w:lang w:eastAsia="en-GB"/>
              </w:rPr>
            </w:pPr>
            <w:r w:rsidRPr="00091092">
              <w:rPr>
                <w:rFonts w:cs="Arial"/>
                <w:sz w:val="20"/>
                <w:szCs w:val="20"/>
                <w:lang w:eastAsia="en-GB"/>
              </w:rPr>
              <w:t>Christer Gruvris</w:t>
            </w:r>
          </w:p>
        </w:tc>
        <w:tc>
          <w:tcPr>
            <w:tcW w:w="2188" w:type="pct"/>
            <w:shd w:val="clear" w:color="auto" w:fill="D9D9D9" w:themeFill="background1" w:themeFillShade="D9"/>
            <w:vAlign w:val="center"/>
            <w:hideMark/>
          </w:tcPr>
          <w:p w14:paraId="1994C642" w14:textId="77777777" w:rsidR="00AD5A19" w:rsidRPr="00091092" w:rsidRDefault="00AD5A19" w:rsidP="000B15BF">
            <w:pPr>
              <w:jc w:val="both"/>
              <w:rPr>
                <w:rFonts w:cs="Arial"/>
                <w:sz w:val="20"/>
                <w:szCs w:val="20"/>
                <w:lang w:eastAsia="en-GB"/>
              </w:rPr>
            </w:pPr>
            <w:proofErr w:type="spellStart"/>
            <w:r w:rsidRPr="00091092">
              <w:rPr>
                <w:rFonts w:cs="Arial"/>
                <w:sz w:val="20"/>
                <w:szCs w:val="20"/>
                <w:lang w:eastAsia="en-GB"/>
              </w:rPr>
              <w:t>BioPharma</w:t>
            </w:r>
            <w:proofErr w:type="spellEnd"/>
            <w:r w:rsidRPr="00091092">
              <w:rPr>
                <w:rFonts w:cs="Arial"/>
                <w:sz w:val="20"/>
                <w:szCs w:val="20"/>
                <w:lang w:eastAsia="en-GB"/>
              </w:rPr>
              <w:t xml:space="preserve"> (cardiovascular, metabolism)</w:t>
            </w:r>
          </w:p>
        </w:tc>
        <w:tc>
          <w:tcPr>
            <w:tcW w:w="1093" w:type="pct"/>
            <w:shd w:val="clear" w:color="auto" w:fill="D9D9D9" w:themeFill="background1" w:themeFillShade="D9"/>
            <w:vAlign w:val="center"/>
            <w:hideMark/>
          </w:tcPr>
          <w:p w14:paraId="7B869FF9" w14:textId="77777777" w:rsidR="00AD5A19" w:rsidRPr="00091092" w:rsidRDefault="00AD5A19" w:rsidP="000B15BF">
            <w:pPr>
              <w:jc w:val="both"/>
              <w:rPr>
                <w:rFonts w:cs="Arial"/>
                <w:sz w:val="20"/>
                <w:szCs w:val="20"/>
                <w:lang w:eastAsia="en-GB"/>
              </w:rPr>
            </w:pPr>
            <w:r w:rsidRPr="00091092">
              <w:rPr>
                <w:rFonts w:cs="Arial"/>
                <w:sz w:val="20"/>
                <w:szCs w:val="20"/>
                <w:lang w:eastAsia="en-GB"/>
              </w:rPr>
              <w:t>+44 203 749 5711</w:t>
            </w:r>
          </w:p>
        </w:tc>
      </w:tr>
      <w:tr w:rsidR="00AD5A19" w:rsidRPr="00091092" w14:paraId="3770800A" w14:textId="77777777" w:rsidTr="00E30F49">
        <w:trPr>
          <w:trHeight w:val="397"/>
        </w:trPr>
        <w:tc>
          <w:tcPr>
            <w:tcW w:w="1719" w:type="pct"/>
            <w:vAlign w:val="center"/>
            <w:hideMark/>
          </w:tcPr>
          <w:p w14:paraId="75E4663E" w14:textId="77777777" w:rsidR="00AD5A19" w:rsidRPr="00091092" w:rsidRDefault="00AD5A19" w:rsidP="000B15BF">
            <w:pPr>
              <w:ind w:hanging="110"/>
              <w:jc w:val="both"/>
              <w:rPr>
                <w:rFonts w:cs="Arial"/>
                <w:sz w:val="20"/>
                <w:szCs w:val="20"/>
                <w:lang w:eastAsia="en-GB"/>
              </w:rPr>
            </w:pPr>
            <w:r w:rsidRPr="00091092">
              <w:rPr>
                <w:rFonts w:cs="Arial"/>
                <w:sz w:val="20"/>
                <w:szCs w:val="20"/>
                <w:lang w:eastAsia="en-GB"/>
              </w:rPr>
              <w:t>Nick Stone</w:t>
            </w:r>
          </w:p>
        </w:tc>
        <w:tc>
          <w:tcPr>
            <w:tcW w:w="2188" w:type="pct"/>
            <w:vAlign w:val="center"/>
            <w:hideMark/>
          </w:tcPr>
          <w:p w14:paraId="56335EB8" w14:textId="77777777" w:rsidR="00AD5A19" w:rsidRPr="00091092" w:rsidRDefault="00AD5A19" w:rsidP="000B15BF">
            <w:pPr>
              <w:jc w:val="both"/>
              <w:rPr>
                <w:rFonts w:cs="Arial"/>
                <w:sz w:val="20"/>
                <w:szCs w:val="20"/>
                <w:lang w:eastAsia="en-GB"/>
              </w:rPr>
            </w:pPr>
            <w:proofErr w:type="spellStart"/>
            <w:r w:rsidRPr="00091092">
              <w:rPr>
                <w:rFonts w:cs="Arial"/>
                <w:sz w:val="20"/>
                <w:szCs w:val="20"/>
                <w:lang w:eastAsia="en-GB"/>
              </w:rPr>
              <w:t>BioPharma</w:t>
            </w:r>
            <w:proofErr w:type="spellEnd"/>
            <w:r w:rsidRPr="00091092">
              <w:rPr>
                <w:rFonts w:cs="Arial"/>
                <w:sz w:val="20"/>
                <w:szCs w:val="20"/>
                <w:lang w:eastAsia="en-GB"/>
              </w:rPr>
              <w:t xml:space="preserve"> (respiratory, renal)</w:t>
            </w:r>
          </w:p>
        </w:tc>
        <w:tc>
          <w:tcPr>
            <w:tcW w:w="1093" w:type="pct"/>
            <w:vAlign w:val="center"/>
            <w:hideMark/>
          </w:tcPr>
          <w:p w14:paraId="0BC59EF9" w14:textId="77777777" w:rsidR="00AD5A19" w:rsidRPr="00091092" w:rsidRDefault="00AD5A19" w:rsidP="000B15BF">
            <w:pPr>
              <w:jc w:val="both"/>
              <w:rPr>
                <w:rFonts w:cs="Arial"/>
                <w:sz w:val="20"/>
                <w:szCs w:val="20"/>
                <w:lang w:eastAsia="en-GB"/>
              </w:rPr>
            </w:pPr>
            <w:r w:rsidRPr="00091092">
              <w:rPr>
                <w:rFonts w:cs="Arial"/>
                <w:sz w:val="20"/>
                <w:szCs w:val="20"/>
                <w:lang w:eastAsia="en-GB"/>
              </w:rPr>
              <w:t>+44 203 749 5716</w:t>
            </w:r>
          </w:p>
        </w:tc>
      </w:tr>
      <w:tr w:rsidR="00AD5A19" w:rsidRPr="00091092" w14:paraId="5E7221AC" w14:textId="77777777" w:rsidTr="00E30F49">
        <w:trPr>
          <w:trHeight w:val="397"/>
        </w:trPr>
        <w:tc>
          <w:tcPr>
            <w:tcW w:w="1719" w:type="pct"/>
            <w:shd w:val="clear" w:color="auto" w:fill="D9D9D9" w:themeFill="background1" w:themeFillShade="D9"/>
            <w:vAlign w:val="center"/>
            <w:hideMark/>
          </w:tcPr>
          <w:p w14:paraId="71ECC158" w14:textId="77777777" w:rsidR="00AD5A19" w:rsidRPr="00091092" w:rsidRDefault="00AD5A19" w:rsidP="000B15BF">
            <w:pPr>
              <w:ind w:hanging="110"/>
              <w:jc w:val="both"/>
              <w:rPr>
                <w:rFonts w:cs="Arial"/>
                <w:sz w:val="20"/>
                <w:szCs w:val="20"/>
                <w:lang w:eastAsia="en-GB"/>
              </w:rPr>
            </w:pPr>
            <w:r w:rsidRPr="00091092">
              <w:rPr>
                <w:rFonts w:cs="Arial"/>
                <w:sz w:val="20"/>
                <w:szCs w:val="20"/>
                <w:lang w:eastAsia="en-GB"/>
              </w:rPr>
              <w:t>Josie Afolabi</w:t>
            </w:r>
          </w:p>
        </w:tc>
        <w:tc>
          <w:tcPr>
            <w:tcW w:w="2188" w:type="pct"/>
            <w:shd w:val="clear" w:color="auto" w:fill="D9D9D9" w:themeFill="background1" w:themeFillShade="D9"/>
            <w:vAlign w:val="center"/>
            <w:hideMark/>
          </w:tcPr>
          <w:p w14:paraId="22C23246" w14:textId="77777777" w:rsidR="00AD5A19" w:rsidRPr="00091092" w:rsidRDefault="00AD5A19" w:rsidP="000B15BF">
            <w:pPr>
              <w:jc w:val="both"/>
              <w:rPr>
                <w:rFonts w:cs="Arial"/>
                <w:sz w:val="20"/>
                <w:szCs w:val="20"/>
                <w:lang w:eastAsia="en-GB"/>
              </w:rPr>
            </w:pPr>
            <w:r w:rsidRPr="00091092">
              <w:rPr>
                <w:rFonts w:cs="Arial"/>
                <w:sz w:val="20"/>
                <w:szCs w:val="20"/>
                <w:lang w:eastAsia="en-GB"/>
              </w:rPr>
              <w:t>Other medicines</w:t>
            </w:r>
          </w:p>
        </w:tc>
        <w:tc>
          <w:tcPr>
            <w:tcW w:w="1093" w:type="pct"/>
            <w:shd w:val="clear" w:color="auto" w:fill="D9D9D9" w:themeFill="background1" w:themeFillShade="D9"/>
            <w:vAlign w:val="center"/>
            <w:hideMark/>
          </w:tcPr>
          <w:p w14:paraId="0F0F7116" w14:textId="77777777" w:rsidR="00AD5A19" w:rsidRPr="00091092" w:rsidRDefault="00AD5A19" w:rsidP="000B15BF">
            <w:pPr>
              <w:jc w:val="both"/>
              <w:rPr>
                <w:rFonts w:cs="Arial"/>
                <w:sz w:val="20"/>
                <w:szCs w:val="20"/>
                <w:lang w:eastAsia="en-GB"/>
              </w:rPr>
            </w:pPr>
            <w:r w:rsidRPr="00091092">
              <w:rPr>
                <w:rFonts w:cs="Arial"/>
                <w:sz w:val="20"/>
                <w:szCs w:val="20"/>
                <w:lang w:eastAsia="en-GB"/>
              </w:rPr>
              <w:t>+44 203 749 5631</w:t>
            </w:r>
          </w:p>
        </w:tc>
      </w:tr>
      <w:tr w:rsidR="00AD5A19" w:rsidRPr="00091092" w14:paraId="7D42DA17" w14:textId="77777777" w:rsidTr="00E30F49">
        <w:trPr>
          <w:trHeight w:val="397"/>
        </w:trPr>
        <w:tc>
          <w:tcPr>
            <w:tcW w:w="1719" w:type="pct"/>
            <w:vAlign w:val="center"/>
            <w:hideMark/>
          </w:tcPr>
          <w:p w14:paraId="5B82A4AA" w14:textId="77777777" w:rsidR="00AD5A19" w:rsidRPr="00091092" w:rsidRDefault="00AD5A19" w:rsidP="000B15BF">
            <w:pPr>
              <w:ind w:hanging="110"/>
              <w:jc w:val="both"/>
              <w:rPr>
                <w:rFonts w:cs="Arial"/>
                <w:sz w:val="20"/>
                <w:szCs w:val="20"/>
                <w:lang w:eastAsia="en-GB"/>
              </w:rPr>
            </w:pPr>
            <w:r w:rsidRPr="00091092">
              <w:rPr>
                <w:rFonts w:cs="Arial"/>
                <w:sz w:val="20"/>
                <w:szCs w:val="20"/>
                <w:lang w:eastAsia="en-GB"/>
              </w:rPr>
              <w:t>Craig Marks</w:t>
            </w:r>
          </w:p>
        </w:tc>
        <w:tc>
          <w:tcPr>
            <w:tcW w:w="2188" w:type="pct"/>
            <w:vAlign w:val="center"/>
            <w:hideMark/>
          </w:tcPr>
          <w:p w14:paraId="3DF3FE27" w14:textId="77777777" w:rsidR="00AD5A19" w:rsidRPr="00091092" w:rsidRDefault="00AD5A19" w:rsidP="000B15BF">
            <w:pPr>
              <w:jc w:val="both"/>
              <w:rPr>
                <w:rFonts w:cs="Arial"/>
                <w:sz w:val="20"/>
                <w:szCs w:val="20"/>
                <w:lang w:eastAsia="en-GB"/>
              </w:rPr>
            </w:pPr>
            <w:r w:rsidRPr="00091092">
              <w:rPr>
                <w:rFonts w:cs="Arial"/>
                <w:sz w:val="20"/>
                <w:szCs w:val="20"/>
                <w:lang w:eastAsia="en-GB"/>
              </w:rPr>
              <w:t>Finance, fixed income</w:t>
            </w:r>
          </w:p>
        </w:tc>
        <w:tc>
          <w:tcPr>
            <w:tcW w:w="1093" w:type="pct"/>
            <w:vAlign w:val="center"/>
            <w:hideMark/>
          </w:tcPr>
          <w:p w14:paraId="5469E353" w14:textId="77777777" w:rsidR="00AD5A19" w:rsidRPr="00091092" w:rsidRDefault="00AD5A19" w:rsidP="000B15BF">
            <w:pPr>
              <w:jc w:val="both"/>
              <w:rPr>
                <w:rFonts w:cs="Arial"/>
                <w:sz w:val="20"/>
                <w:szCs w:val="20"/>
                <w:lang w:eastAsia="en-GB"/>
              </w:rPr>
            </w:pPr>
            <w:r w:rsidRPr="00091092">
              <w:rPr>
                <w:rFonts w:cs="Arial"/>
                <w:sz w:val="20"/>
                <w:szCs w:val="20"/>
                <w:lang w:eastAsia="en-GB"/>
              </w:rPr>
              <w:t>+44 7881 615 764</w:t>
            </w:r>
          </w:p>
        </w:tc>
      </w:tr>
      <w:tr w:rsidR="00AD5A19" w:rsidRPr="00091092" w14:paraId="48FA4E92" w14:textId="77777777" w:rsidTr="00E30F49">
        <w:trPr>
          <w:trHeight w:val="397"/>
        </w:trPr>
        <w:tc>
          <w:tcPr>
            <w:tcW w:w="1719" w:type="pct"/>
            <w:shd w:val="clear" w:color="auto" w:fill="D9D9D9" w:themeFill="background1" w:themeFillShade="D9"/>
            <w:vAlign w:val="center"/>
            <w:hideMark/>
          </w:tcPr>
          <w:p w14:paraId="08B596A0" w14:textId="77777777" w:rsidR="00AD5A19" w:rsidRPr="00091092" w:rsidRDefault="00AD5A19" w:rsidP="000B15BF">
            <w:pPr>
              <w:ind w:hanging="110"/>
              <w:jc w:val="both"/>
              <w:rPr>
                <w:rFonts w:cs="Arial"/>
                <w:sz w:val="20"/>
                <w:szCs w:val="20"/>
                <w:lang w:eastAsia="en-GB"/>
              </w:rPr>
            </w:pPr>
            <w:r w:rsidRPr="00091092">
              <w:rPr>
                <w:rFonts w:cs="Arial"/>
                <w:sz w:val="20"/>
                <w:szCs w:val="20"/>
                <w:lang w:eastAsia="en-GB"/>
              </w:rPr>
              <w:t>Jennifer Kretzmann</w:t>
            </w:r>
          </w:p>
        </w:tc>
        <w:tc>
          <w:tcPr>
            <w:tcW w:w="2188" w:type="pct"/>
            <w:shd w:val="clear" w:color="auto" w:fill="D9D9D9" w:themeFill="background1" w:themeFillShade="D9"/>
            <w:vAlign w:val="center"/>
            <w:hideMark/>
          </w:tcPr>
          <w:p w14:paraId="39602BC0" w14:textId="77777777" w:rsidR="00AD5A19" w:rsidRPr="00091092" w:rsidRDefault="00AD5A19" w:rsidP="000B15BF">
            <w:pPr>
              <w:jc w:val="both"/>
              <w:rPr>
                <w:rFonts w:cs="Arial"/>
                <w:sz w:val="20"/>
                <w:szCs w:val="20"/>
                <w:lang w:eastAsia="en-GB"/>
              </w:rPr>
            </w:pPr>
            <w:r w:rsidRPr="00091092">
              <w:rPr>
                <w:rFonts w:cs="Arial"/>
                <w:sz w:val="20"/>
                <w:szCs w:val="20"/>
                <w:lang w:eastAsia="en-GB"/>
              </w:rPr>
              <w:t>Corporate access, retail investors</w:t>
            </w:r>
          </w:p>
        </w:tc>
        <w:tc>
          <w:tcPr>
            <w:tcW w:w="1093" w:type="pct"/>
            <w:shd w:val="clear" w:color="auto" w:fill="D9D9D9" w:themeFill="background1" w:themeFillShade="D9"/>
            <w:vAlign w:val="center"/>
            <w:hideMark/>
          </w:tcPr>
          <w:p w14:paraId="397B445C" w14:textId="77777777" w:rsidR="00AD5A19" w:rsidRPr="00091092" w:rsidRDefault="00AD5A19" w:rsidP="000B15BF">
            <w:pPr>
              <w:jc w:val="both"/>
              <w:rPr>
                <w:rFonts w:cs="Arial"/>
                <w:sz w:val="20"/>
                <w:szCs w:val="20"/>
                <w:lang w:eastAsia="en-GB"/>
              </w:rPr>
            </w:pPr>
            <w:r w:rsidRPr="00091092">
              <w:rPr>
                <w:rFonts w:cs="Arial"/>
                <w:sz w:val="20"/>
                <w:szCs w:val="20"/>
                <w:lang w:eastAsia="en-GB"/>
              </w:rPr>
              <w:t>+44 203 749 5824</w:t>
            </w:r>
          </w:p>
        </w:tc>
      </w:tr>
      <w:tr w:rsidR="00AD5A19" w:rsidRPr="00091092" w14:paraId="3ECFEA98" w14:textId="77777777" w:rsidTr="00E30F49">
        <w:trPr>
          <w:trHeight w:val="397"/>
        </w:trPr>
        <w:tc>
          <w:tcPr>
            <w:tcW w:w="1719" w:type="pct"/>
            <w:vAlign w:val="center"/>
            <w:hideMark/>
          </w:tcPr>
          <w:p w14:paraId="45A50603" w14:textId="77777777" w:rsidR="00AD5A19" w:rsidRPr="00091092" w:rsidRDefault="00AD5A19" w:rsidP="000B15BF">
            <w:pPr>
              <w:ind w:hanging="110"/>
              <w:jc w:val="both"/>
              <w:rPr>
                <w:rFonts w:cs="Arial"/>
                <w:sz w:val="20"/>
                <w:szCs w:val="20"/>
                <w:lang w:eastAsia="en-GB"/>
              </w:rPr>
            </w:pPr>
            <w:r w:rsidRPr="00091092">
              <w:rPr>
                <w:rFonts w:cs="Arial"/>
                <w:sz w:val="20"/>
                <w:szCs w:val="20"/>
                <w:lang w:eastAsia="en-GB"/>
              </w:rPr>
              <w:t>US toll-free</w:t>
            </w:r>
          </w:p>
        </w:tc>
        <w:tc>
          <w:tcPr>
            <w:tcW w:w="2188" w:type="pct"/>
            <w:vAlign w:val="center"/>
            <w:hideMark/>
          </w:tcPr>
          <w:p w14:paraId="66E48C29" w14:textId="77777777" w:rsidR="00AD5A19" w:rsidRPr="00091092" w:rsidRDefault="00AD5A19" w:rsidP="000B15BF">
            <w:pPr>
              <w:jc w:val="both"/>
              <w:rPr>
                <w:rFonts w:cs="Arial"/>
                <w:sz w:val="20"/>
                <w:szCs w:val="20"/>
                <w:lang w:eastAsia="en-GB"/>
              </w:rPr>
            </w:pPr>
          </w:p>
        </w:tc>
        <w:tc>
          <w:tcPr>
            <w:tcW w:w="1093" w:type="pct"/>
            <w:vAlign w:val="center"/>
            <w:hideMark/>
          </w:tcPr>
          <w:p w14:paraId="68E1F063" w14:textId="77777777" w:rsidR="00AD5A19" w:rsidRPr="00091092" w:rsidRDefault="00AD5A19" w:rsidP="000B15BF">
            <w:pPr>
              <w:jc w:val="both"/>
              <w:rPr>
                <w:rFonts w:cs="Arial"/>
                <w:sz w:val="20"/>
                <w:szCs w:val="20"/>
                <w:lang w:eastAsia="en-GB"/>
              </w:rPr>
            </w:pPr>
            <w:r w:rsidRPr="00091092">
              <w:rPr>
                <w:rFonts w:cs="Arial"/>
                <w:sz w:val="20"/>
                <w:szCs w:val="20"/>
                <w:lang w:eastAsia="en-GB"/>
              </w:rPr>
              <w:t>+1 866 381 72 77</w:t>
            </w:r>
          </w:p>
        </w:tc>
      </w:tr>
    </w:tbl>
    <w:p w14:paraId="0C6CC0F3" w14:textId="4332E7A5" w:rsidR="003C74F9" w:rsidRPr="00091092" w:rsidRDefault="003C74F9" w:rsidP="00596484">
      <w:pPr>
        <w:pStyle w:val="Boldbodytext"/>
        <w:spacing w:line="240" w:lineRule="auto"/>
        <w:jc w:val="both"/>
        <w:rPr>
          <w:sz w:val="20"/>
          <w:szCs w:val="20"/>
        </w:rPr>
      </w:pPr>
    </w:p>
    <w:p w14:paraId="171A3483" w14:textId="77777777" w:rsidR="003C74F9" w:rsidRPr="00091092" w:rsidRDefault="003C74F9" w:rsidP="000B15BF">
      <w:pPr>
        <w:pStyle w:val="NoSpacing"/>
        <w:jc w:val="both"/>
        <w:rPr>
          <w:rFonts w:ascii="Arial" w:hAnsi="Arial" w:cs="Arial"/>
          <w:b/>
          <w:sz w:val="20"/>
          <w:szCs w:val="20"/>
        </w:rPr>
      </w:pPr>
      <w:r w:rsidRPr="00091092">
        <w:rPr>
          <w:rFonts w:ascii="Arial" w:hAnsi="Arial" w:cs="Arial"/>
          <w:b/>
          <w:sz w:val="20"/>
          <w:szCs w:val="20"/>
        </w:rPr>
        <w:t>Adrian Kemp</w:t>
      </w:r>
    </w:p>
    <w:p w14:paraId="635D3338" w14:textId="77777777" w:rsidR="003C74F9" w:rsidRPr="00091092" w:rsidRDefault="003C74F9" w:rsidP="000B15BF">
      <w:pPr>
        <w:pStyle w:val="NoSpacing"/>
        <w:jc w:val="both"/>
        <w:rPr>
          <w:rFonts w:ascii="Arial" w:hAnsi="Arial" w:cs="Arial"/>
          <w:b/>
          <w:sz w:val="20"/>
          <w:szCs w:val="20"/>
        </w:rPr>
      </w:pPr>
      <w:r w:rsidRPr="00091092">
        <w:rPr>
          <w:rFonts w:ascii="Arial" w:hAnsi="Arial" w:cs="Arial"/>
          <w:b/>
          <w:sz w:val="20"/>
          <w:szCs w:val="20"/>
        </w:rPr>
        <w:t>Company Secretary</w:t>
      </w:r>
    </w:p>
    <w:p w14:paraId="0982DCF0" w14:textId="77777777" w:rsidR="003C74F9" w:rsidRPr="00091092" w:rsidRDefault="003C74F9" w:rsidP="000B15BF">
      <w:pPr>
        <w:pStyle w:val="NoSpacing"/>
        <w:jc w:val="both"/>
        <w:rPr>
          <w:rFonts w:ascii="Arial" w:hAnsi="Arial" w:cs="Arial"/>
          <w:b/>
          <w:sz w:val="20"/>
          <w:szCs w:val="20"/>
        </w:rPr>
      </w:pPr>
      <w:r w:rsidRPr="00091092">
        <w:rPr>
          <w:rFonts w:ascii="Arial" w:hAnsi="Arial" w:cs="Arial"/>
          <w:b/>
          <w:sz w:val="20"/>
          <w:szCs w:val="20"/>
        </w:rPr>
        <w:t>AstraZeneca PLC</w:t>
      </w:r>
    </w:p>
    <w:p w14:paraId="12ED75B8" w14:textId="77777777" w:rsidR="003C74F9" w:rsidRPr="00091092" w:rsidRDefault="003C74F9" w:rsidP="00596484">
      <w:pPr>
        <w:pStyle w:val="Boldbodytext"/>
        <w:spacing w:line="240" w:lineRule="auto"/>
        <w:jc w:val="both"/>
        <w:rPr>
          <w:sz w:val="20"/>
          <w:szCs w:val="20"/>
        </w:rPr>
      </w:pPr>
    </w:p>
    <w:p w14:paraId="67662C07" w14:textId="3DE860C6" w:rsidR="43983877" w:rsidRPr="00091092" w:rsidRDefault="04125247" w:rsidP="00596484">
      <w:pPr>
        <w:pStyle w:val="Boldbodytext"/>
        <w:spacing w:line="240" w:lineRule="auto"/>
        <w:jc w:val="both"/>
        <w:rPr>
          <w:color w:val="auto"/>
          <w:sz w:val="20"/>
          <w:szCs w:val="20"/>
        </w:rPr>
      </w:pPr>
      <w:r w:rsidRPr="00091092">
        <w:rPr>
          <w:color w:val="auto"/>
          <w:sz w:val="20"/>
          <w:szCs w:val="20"/>
        </w:rPr>
        <w:t xml:space="preserve">References </w:t>
      </w:r>
    </w:p>
    <w:p w14:paraId="57F01BC8" w14:textId="4739A906" w:rsidR="43983877" w:rsidRPr="00091092" w:rsidRDefault="51A17585" w:rsidP="00596484">
      <w:pPr>
        <w:jc w:val="both"/>
        <w:rPr>
          <w:rFonts w:eastAsia="Helvetica Neue" w:cs="Arial"/>
          <w:sz w:val="20"/>
          <w:szCs w:val="20"/>
        </w:rPr>
      </w:pPr>
      <w:r w:rsidRPr="00091092">
        <w:rPr>
          <w:rFonts w:eastAsia="Helvetica Neue" w:cs="Arial"/>
          <w:sz w:val="20"/>
          <w:szCs w:val="20"/>
        </w:rPr>
        <w:t xml:space="preserve">1. American Cancer Society. Survival Rates for Ovarian Cancer, by Stage. Available at: </w:t>
      </w:r>
      <w:hyperlink r:id="rId15" w:history="1">
        <w:r w:rsidR="00B9795D" w:rsidRPr="00B9795D">
          <w:rPr>
            <w:rStyle w:val="Hyperlink"/>
            <w:rFonts w:cs="Arial"/>
            <w:sz w:val="20"/>
            <w:szCs w:val="20"/>
          </w:rPr>
          <w:t>https://www.cancer.org/cancer/ovarian-cancer/detection-diagnosis-staging/survival-rates.html</w:t>
        </w:r>
      </w:hyperlink>
      <w:r w:rsidR="00C902A7" w:rsidRPr="00F77848">
        <w:rPr>
          <w:rStyle w:val="Hyperlink"/>
          <w:rFonts w:cs="Arial"/>
          <w:color w:val="auto"/>
          <w:sz w:val="20"/>
          <w:szCs w:val="20"/>
          <w:u w:val="none"/>
        </w:rPr>
        <w:t>.</w:t>
      </w:r>
      <w:r w:rsidRPr="00F77848">
        <w:rPr>
          <w:rStyle w:val="Hyperlink"/>
          <w:color w:val="auto"/>
          <w:sz w:val="20"/>
          <w:szCs w:val="20"/>
          <w:u w:val="none"/>
        </w:rPr>
        <w:t xml:space="preserve"> </w:t>
      </w:r>
      <w:r w:rsidRPr="00091092">
        <w:rPr>
          <w:rFonts w:eastAsia="Helvetica Neue" w:cs="Arial"/>
          <w:sz w:val="20"/>
          <w:szCs w:val="20"/>
        </w:rPr>
        <w:t>Accessed: March 2019</w:t>
      </w:r>
      <w:r w:rsidR="000B15BF" w:rsidRPr="00091092">
        <w:rPr>
          <w:rFonts w:eastAsia="Helvetica Neue" w:cs="Arial"/>
          <w:sz w:val="20"/>
          <w:szCs w:val="20"/>
        </w:rPr>
        <w:t>.</w:t>
      </w:r>
    </w:p>
    <w:p w14:paraId="0E2CAAC7" w14:textId="0E9FA21B" w:rsidR="43983877" w:rsidRPr="00091092" w:rsidRDefault="51A17585" w:rsidP="00596484">
      <w:pPr>
        <w:jc w:val="both"/>
        <w:rPr>
          <w:rFonts w:eastAsia="Helvetica Neue" w:cs="Arial"/>
          <w:sz w:val="20"/>
          <w:szCs w:val="20"/>
        </w:rPr>
      </w:pPr>
      <w:r w:rsidRPr="00091092">
        <w:rPr>
          <w:rFonts w:eastAsia="Helvetica Neue" w:cs="Arial"/>
          <w:sz w:val="20"/>
          <w:szCs w:val="20"/>
        </w:rPr>
        <w:t xml:space="preserve">2. </w:t>
      </w:r>
      <w:proofErr w:type="spellStart"/>
      <w:r w:rsidRPr="00091092">
        <w:rPr>
          <w:rFonts w:eastAsia="Helvetica Neue" w:cs="Arial"/>
          <w:sz w:val="20"/>
          <w:szCs w:val="20"/>
        </w:rPr>
        <w:t>Globocan</w:t>
      </w:r>
      <w:proofErr w:type="spellEnd"/>
      <w:r w:rsidRPr="00091092">
        <w:rPr>
          <w:rFonts w:eastAsia="Helvetica Neue" w:cs="Arial"/>
          <w:sz w:val="20"/>
          <w:szCs w:val="20"/>
        </w:rPr>
        <w:t xml:space="preserve"> 2018 </w:t>
      </w:r>
      <w:hyperlink r:id="rId16" w:history="1">
        <w:r w:rsidR="00C902A7" w:rsidRPr="00F77848">
          <w:rPr>
            <w:rStyle w:val="Hyperlink"/>
            <w:rFonts w:cs="Arial"/>
            <w:sz w:val="20"/>
            <w:szCs w:val="20"/>
          </w:rPr>
          <w:t>http://gco.iarc.fr/</w:t>
        </w:r>
      </w:hyperlink>
      <w:r w:rsidR="000B15BF" w:rsidRPr="00F77848">
        <w:rPr>
          <w:rStyle w:val="Hyperlink"/>
          <w:color w:val="auto"/>
          <w:sz w:val="20"/>
          <w:szCs w:val="20"/>
          <w:u w:val="none"/>
        </w:rPr>
        <w:t>.</w:t>
      </w:r>
    </w:p>
    <w:p w14:paraId="37D9B2B4" w14:textId="6F0FBF77" w:rsidR="43983877" w:rsidRPr="00091092" w:rsidRDefault="51A17585" w:rsidP="00596484">
      <w:pPr>
        <w:jc w:val="both"/>
        <w:rPr>
          <w:rFonts w:eastAsia="Helvetica Neue" w:cs="Arial"/>
          <w:sz w:val="20"/>
          <w:szCs w:val="20"/>
        </w:rPr>
      </w:pPr>
      <w:r w:rsidRPr="00091092">
        <w:rPr>
          <w:rFonts w:eastAsia="Helvetica Neue" w:cs="Arial"/>
          <w:sz w:val="20"/>
          <w:szCs w:val="20"/>
        </w:rPr>
        <w:t xml:space="preserve">3. Moore K et al. Maintenance </w:t>
      </w:r>
      <w:proofErr w:type="spellStart"/>
      <w:r w:rsidRPr="00091092">
        <w:rPr>
          <w:rFonts w:eastAsia="Helvetica Neue" w:cs="Arial"/>
          <w:sz w:val="20"/>
          <w:szCs w:val="20"/>
        </w:rPr>
        <w:t>Olaparib</w:t>
      </w:r>
      <w:proofErr w:type="spellEnd"/>
      <w:r w:rsidRPr="00091092">
        <w:rPr>
          <w:rFonts w:eastAsia="Helvetica Neue" w:cs="Arial"/>
          <w:sz w:val="20"/>
          <w:szCs w:val="20"/>
        </w:rPr>
        <w:t xml:space="preserve"> in Patients with Newly Diagnosed Advanced Ovarian Cancer. Presented at ESMO October 2018</w:t>
      </w:r>
      <w:r w:rsidR="000B15BF" w:rsidRPr="00091092">
        <w:rPr>
          <w:rFonts w:eastAsia="Helvetica Neue" w:cs="Arial"/>
          <w:sz w:val="20"/>
          <w:szCs w:val="20"/>
        </w:rPr>
        <w:t>.</w:t>
      </w:r>
    </w:p>
    <w:p w14:paraId="797156E9" w14:textId="1B5E57A8" w:rsidR="43983877" w:rsidRPr="00091092" w:rsidRDefault="51A17585" w:rsidP="00596484">
      <w:pPr>
        <w:jc w:val="both"/>
        <w:rPr>
          <w:rFonts w:eastAsia="Helvetica Neue" w:cs="Arial"/>
          <w:sz w:val="20"/>
          <w:szCs w:val="20"/>
        </w:rPr>
      </w:pPr>
      <w:r w:rsidRPr="00091092">
        <w:rPr>
          <w:rFonts w:eastAsia="Helvetica Neue" w:cs="Arial"/>
          <w:sz w:val="20"/>
          <w:szCs w:val="20"/>
        </w:rPr>
        <w:t xml:space="preserve">4. Raja, F. A., Chopra, N. &amp; Ledermann, J. A. Optimal first-line treatment in ovarian cancer. Ann. Oncol. Off. J. Eur. Soc. Med. Oncol. 23 </w:t>
      </w:r>
      <w:proofErr w:type="spellStart"/>
      <w:r w:rsidRPr="00091092">
        <w:rPr>
          <w:rFonts w:eastAsia="Helvetica Neue" w:cs="Arial"/>
          <w:sz w:val="20"/>
          <w:szCs w:val="20"/>
        </w:rPr>
        <w:t>Suppl</w:t>
      </w:r>
      <w:proofErr w:type="spellEnd"/>
      <w:r w:rsidRPr="00091092">
        <w:rPr>
          <w:rFonts w:eastAsia="Helvetica Neue" w:cs="Arial"/>
          <w:sz w:val="20"/>
          <w:szCs w:val="20"/>
        </w:rPr>
        <w:t xml:space="preserve"> 10, x118-127 (2012)</w:t>
      </w:r>
      <w:r w:rsidR="000B15BF" w:rsidRPr="00091092">
        <w:rPr>
          <w:rFonts w:eastAsia="Helvetica Neue" w:cs="Arial"/>
          <w:sz w:val="20"/>
          <w:szCs w:val="20"/>
        </w:rPr>
        <w:t>.</w:t>
      </w:r>
    </w:p>
    <w:p w14:paraId="10FF4BC3" w14:textId="4B48DFE6" w:rsidR="43983877" w:rsidRPr="00091092" w:rsidRDefault="51A17585" w:rsidP="00596484">
      <w:pPr>
        <w:jc w:val="both"/>
        <w:rPr>
          <w:rFonts w:eastAsia="Helvetica Neue" w:cs="Arial"/>
          <w:sz w:val="20"/>
          <w:szCs w:val="20"/>
        </w:rPr>
      </w:pPr>
      <w:r w:rsidRPr="00091092">
        <w:rPr>
          <w:rFonts w:eastAsia="Helvetica Neue" w:cs="Arial"/>
          <w:sz w:val="20"/>
          <w:szCs w:val="20"/>
        </w:rPr>
        <w:t xml:space="preserve">5. NHS Choices, Ovarian Cancer Accessed </w:t>
      </w:r>
      <w:hyperlink r:id="rId17" w:history="1">
        <w:r w:rsidR="00C902A7" w:rsidRPr="00F77848">
          <w:rPr>
            <w:rStyle w:val="Hyperlink"/>
            <w:rFonts w:cs="Arial"/>
            <w:sz w:val="20"/>
            <w:szCs w:val="20"/>
          </w:rPr>
          <w:t>https://www.nhs.uk/conditions/ovarian-cancer/treatment/</w:t>
        </w:r>
      </w:hyperlink>
      <w:r w:rsidR="00C902A7" w:rsidRPr="00091092">
        <w:rPr>
          <w:rFonts w:eastAsia="Helvetica Neue" w:cs="Arial"/>
          <w:sz w:val="20"/>
          <w:szCs w:val="20"/>
        </w:rPr>
        <w:t xml:space="preserve"> </w:t>
      </w:r>
      <w:r w:rsidRPr="00091092">
        <w:rPr>
          <w:rFonts w:eastAsia="Helvetica Neue" w:cs="Arial"/>
          <w:sz w:val="20"/>
          <w:szCs w:val="20"/>
        </w:rPr>
        <w:t>in September 2018</w:t>
      </w:r>
      <w:r w:rsidR="000B15BF" w:rsidRPr="00091092">
        <w:rPr>
          <w:rFonts w:eastAsia="Helvetica Neue" w:cs="Arial"/>
          <w:sz w:val="20"/>
          <w:szCs w:val="20"/>
        </w:rPr>
        <w:t>.</w:t>
      </w:r>
    </w:p>
    <w:p w14:paraId="4E919DD9" w14:textId="4F2FAD47" w:rsidR="00FA7369" w:rsidRPr="00091092" w:rsidRDefault="51A17585" w:rsidP="00596484">
      <w:pPr>
        <w:pStyle w:val="Boldbodytext"/>
        <w:spacing w:line="240" w:lineRule="auto"/>
        <w:jc w:val="both"/>
        <w:rPr>
          <w:sz w:val="20"/>
          <w:szCs w:val="20"/>
        </w:rPr>
      </w:pPr>
      <w:r w:rsidRPr="00091092">
        <w:rPr>
          <w:rFonts w:eastAsia="Helvetica Neue"/>
          <w:b w:val="0"/>
          <w:bCs w:val="0"/>
          <w:color w:val="auto"/>
          <w:sz w:val="20"/>
          <w:szCs w:val="20"/>
        </w:rPr>
        <w:t>6. Ledermann.et al. 2013. Newly diagnosed and relapsed epithelial ovarian carcinoma: ESMO Clinical Practice</w:t>
      </w:r>
      <w:r w:rsidR="000B15BF" w:rsidRPr="00091092">
        <w:rPr>
          <w:rFonts w:eastAsia="Helvetica Neue"/>
          <w:b w:val="0"/>
          <w:bCs w:val="0"/>
          <w:color w:val="auto"/>
          <w:sz w:val="20"/>
          <w:szCs w:val="20"/>
        </w:rPr>
        <w:t>.</w:t>
      </w:r>
    </w:p>
    <w:sectPr w:rsidR="00FA7369" w:rsidRPr="00091092" w:rsidSect="00915D14">
      <w:headerReference w:type="default" r:id="rId18"/>
      <w:footerReference w:type="default" r:id="rId19"/>
      <w:headerReference w:type="first" r:id="rId20"/>
      <w:footerReference w:type="first" r:id="rId21"/>
      <w:endnotePr>
        <w:numFmt w:val="decimal"/>
      </w:endnotePr>
      <w:pgSz w:w="11907" w:h="16840" w:code="9"/>
      <w:pgMar w:top="1701" w:right="1440" w:bottom="0" w:left="1440" w:header="1152"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202E6" w14:textId="77777777" w:rsidR="008B7EA6" w:rsidRDefault="008B7EA6">
      <w:r>
        <w:separator/>
      </w:r>
    </w:p>
  </w:endnote>
  <w:endnote w:type="continuationSeparator" w:id="0">
    <w:p w14:paraId="05684670" w14:textId="77777777" w:rsidR="008B7EA6" w:rsidRDefault="008B7EA6">
      <w:r>
        <w:continuationSeparator/>
      </w:r>
    </w:p>
  </w:endnote>
  <w:endnote w:type="continuationNotice" w:id="1">
    <w:p w14:paraId="4887ACE6" w14:textId="77777777" w:rsidR="008B7EA6" w:rsidRDefault="008B7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55 Roman">
    <w:altName w:val="Arial"/>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379084"/>
      <w:docPartObj>
        <w:docPartGallery w:val="Page Numbers (Bottom of Page)"/>
        <w:docPartUnique/>
      </w:docPartObj>
    </w:sdtPr>
    <w:sdtEndPr/>
    <w:sdtContent>
      <w:sdt>
        <w:sdtPr>
          <w:id w:val="39095640"/>
          <w:docPartObj>
            <w:docPartGallery w:val="Page Numbers (Top of Page)"/>
            <w:docPartUnique/>
          </w:docPartObj>
        </w:sdtPr>
        <w:sdtEndPr/>
        <w:sdtContent>
          <w:p w14:paraId="68A96685" w14:textId="77777777" w:rsidR="00741F4C" w:rsidRDefault="00741F4C">
            <w:pPr>
              <w:pStyle w:val="Footer"/>
              <w:jc w:val="right"/>
            </w:pPr>
            <w:r w:rsidRPr="00741F4C">
              <w:rPr>
                <w:b/>
                <w:sz w:val="16"/>
                <w:szCs w:val="16"/>
              </w:rPr>
              <w:t xml:space="preserve">Page </w:t>
            </w:r>
            <w:r w:rsidRPr="00741F4C">
              <w:rPr>
                <w:b/>
                <w:bCs/>
                <w:sz w:val="16"/>
                <w:szCs w:val="16"/>
              </w:rPr>
              <w:fldChar w:fldCharType="begin"/>
            </w:r>
            <w:r w:rsidRPr="00741F4C">
              <w:rPr>
                <w:b/>
                <w:bCs/>
                <w:sz w:val="16"/>
                <w:szCs w:val="16"/>
              </w:rPr>
              <w:instrText xml:space="preserve"> PAGE </w:instrText>
            </w:r>
            <w:r w:rsidRPr="00741F4C">
              <w:rPr>
                <w:b/>
                <w:bCs/>
                <w:sz w:val="16"/>
                <w:szCs w:val="16"/>
              </w:rPr>
              <w:fldChar w:fldCharType="separate"/>
            </w:r>
            <w:r w:rsidRPr="00741F4C">
              <w:rPr>
                <w:b/>
                <w:bCs/>
                <w:noProof/>
                <w:sz w:val="16"/>
                <w:szCs w:val="16"/>
              </w:rPr>
              <w:t>2</w:t>
            </w:r>
            <w:r w:rsidRPr="00741F4C">
              <w:rPr>
                <w:b/>
                <w:bCs/>
                <w:sz w:val="16"/>
                <w:szCs w:val="16"/>
              </w:rPr>
              <w:fldChar w:fldCharType="end"/>
            </w:r>
            <w:r w:rsidRPr="00741F4C">
              <w:rPr>
                <w:b/>
                <w:sz w:val="16"/>
                <w:szCs w:val="16"/>
              </w:rPr>
              <w:t>/</w:t>
            </w:r>
            <w:r w:rsidRPr="00741F4C">
              <w:rPr>
                <w:b/>
                <w:bCs/>
                <w:sz w:val="16"/>
                <w:szCs w:val="16"/>
              </w:rPr>
              <w:fldChar w:fldCharType="begin"/>
            </w:r>
            <w:r w:rsidRPr="00741F4C">
              <w:rPr>
                <w:b/>
                <w:bCs/>
                <w:sz w:val="16"/>
                <w:szCs w:val="16"/>
              </w:rPr>
              <w:instrText xml:space="preserve"> NUMPAGES  </w:instrText>
            </w:r>
            <w:r w:rsidRPr="00741F4C">
              <w:rPr>
                <w:b/>
                <w:bCs/>
                <w:sz w:val="16"/>
                <w:szCs w:val="16"/>
              </w:rPr>
              <w:fldChar w:fldCharType="separate"/>
            </w:r>
            <w:r w:rsidRPr="00741F4C">
              <w:rPr>
                <w:b/>
                <w:bCs/>
                <w:noProof/>
                <w:sz w:val="16"/>
                <w:szCs w:val="16"/>
              </w:rPr>
              <w:t>2</w:t>
            </w:r>
            <w:r w:rsidRPr="00741F4C">
              <w:rPr>
                <w:b/>
                <w:bCs/>
                <w:sz w:val="16"/>
                <w:szCs w:val="16"/>
              </w:rPr>
              <w:fldChar w:fldCharType="end"/>
            </w:r>
          </w:p>
        </w:sdtContent>
      </w:sdt>
    </w:sdtContent>
  </w:sdt>
  <w:p w14:paraId="6EE66CA0" w14:textId="77777777" w:rsidR="00741F4C" w:rsidRDefault="00741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0580906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B5443FD" w14:textId="77777777" w:rsidR="00103D77" w:rsidRPr="00741F4C" w:rsidRDefault="00103D77">
            <w:pPr>
              <w:pStyle w:val="Footer"/>
              <w:jc w:val="right"/>
              <w:rPr>
                <w:b/>
                <w:sz w:val="16"/>
                <w:szCs w:val="16"/>
              </w:rPr>
            </w:pPr>
          </w:p>
          <w:tbl>
            <w:tblPr>
              <w:tblW w:w="10726" w:type="dxa"/>
              <w:tblLook w:val="01E0" w:firstRow="1" w:lastRow="1" w:firstColumn="1" w:lastColumn="1" w:noHBand="0" w:noVBand="0"/>
            </w:tblPr>
            <w:tblGrid>
              <w:gridCol w:w="10726"/>
            </w:tblGrid>
            <w:tr w:rsidR="00103D77" w:rsidRPr="00B73C1C" w14:paraId="7F3731F5" w14:textId="77777777" w:rsidTr="00E30F49">
              <w:tc>
                <w:tcPr>
                  <w:tcW w:w="10490" w:type="dxa"/>
                  <w:vAlign w:val="bottom"/>
                </w:tcPr>
                <w:p w14:paraId="1AC12864" w14:textId="77777777" w:rsidR="00103D77" w:rsidRPr="00B73C1C" w:rsidRDefault="00103D77" w:rsidP="00103D77">
                  <w:pPr>
                    <w:pStyle w:val="Address"/>
                    <w:spacing w:line="160" w:lineRule="atLeast"/>
                    <w:rPr>
                      <w:rFonts w:cs="Arial"/>
                    </w:rPr>
                  </w:pPr>
                </w:p>
              </w:tc>
            </w:tr>
            <w:tr w:rsidR="00103D77" w:rsidRPr="00606C5C" w14:paraId="5F9B2118" w14:textId="77777777" w:rsidTr="00E30F49">
              <w:tc>
                <w:tcPr>
                  <w:tcW w:w="10490" w:type="dxa"/>
                </w:tcPr>
                <w:p w14:paraId="03847599" w14:textId="77777777" w:rsidR="00103D77" w:rsidRDefault="00103D77" w:rsidP="00103D77">
                  <w:pPr>
                    <w:pStyle w:val="Address"/>
                    <w:spacing w:line="160" w:lineRule="atLeast"/>
                    <w:rPr>
                      <w:color w:val="3F1E68"/>
                    </w:rPr>
                  </w:pPr>
                  <w:r w:rsidRPr="00B73C1C">
                    <w:rPr>
                      <w:color w:val="8B034F"/>
                    </w:rPr>
                    <w:t>AstraZeneca</w:t>
                  </w:r>
                  <w:r w:rsidRPr="00D20E1F">
                    <w:t xml:space="preserve"> </w:t>
                  </w:r>
                  <w:r w:rsidRPr="00B73C1C">
                    <w:rPr>
                      <w:color w:val="3F1E68"/>
                    </w:rPr>
                    <w:t xml:space="preserve">· </w:t>
                  </w:r>
                  <w:r>
                    <w:rPr>
                      <w:color w:val="3F1E68"/>
                    </w:rPr>
                    <w:t xml:space="preserve"> 1 Francis Crick Avenue · Cambridge Biomedical Campus</w:t>
                  </w:r>
                  <w:r w:rsidRPr="00B73C1C">
                    <w:rPr>
                      <w:color w:val="3F1E68"/>
                    </w:rPr>
                    <w:t xml:space="preserve"> · </w:t>
                  </w:r>
                </w:p>
                <w:p w14:paraId="0BA03026" w14:textId="77777777" w:rsidR="00103D77" w:rsidRDefault="00103D77" w:rsidP="00103D77">
                  <w:pPr>
                    <w:pStyle w:val="Address"/>
                    <w:spacing w:line="160" w:lineRule="atLeast"/>
                    <w:rPr>
                      <w:color w:val="3F1E68"/>
                    </w:rPr>
                  </w:pPr>
                  <w:r>
                    <w:rPr>
                      <w:color w:val="3F1E68"/>
                    </w:rPr>
                    <w:t xml:space="preserve">                          Cambridge </w:t>
                  </w:r>
                  <w:r w:rsidRPr="00B73C1C">
                    <w:rPr>
                      <w:color w:val="3F1E68"/>
                    </w:rPr>
                    <w:t>·</w:t>
                  </w:r>
                  <w:r>
                    <w:rPr>
                      <w:color w:val="3F1E68"/>
                    </w:rPr>
                    <w:t xml:space="preserve"> CB2 0AA </w:t>
                  </w:r>
                </w:p>
                <w:p w14:paraId="1B63D2CF" w14:textId="77777777" w:rsidR="00103D77" w:rsidRPr="00606C5C" w:rsidRDefault="00103D77" w:rsidP="00103D77">
                  <w:pPr>
                    <w:pStyle w:val="Address"/>
                    <w:tabs>
                      <w:tab w:val="clear" w:pos="6123"/>
                    </w:tabs>
                    <w:ind w:right="-1987"/>
                    <w:rPr>
                      <w:sz w:val="13"/>
                    </w:rPr>
                  </w:pPr>
                  <w:r>
                    <w:rPr>
                      <w:rFonts w:cs="Arial"/>
                      <w:color w:val="3F1E68"/>
                    </w:rPr>
                    <w:t xml:space="preserve">                          </w:t>
                  </w:r>
                  <w:r w:rsidRPr="00B83CC3">
                    <w:rPr>
                      <w:rFonts w:cs="Arial"/>
                      <w:color w:val="3F1E68"/>
                    </w:rPr>
                    <w:t>T: +</w:t>
                  </w:r>
                  <w:r>
                    <w:rPr>
                      <w:rFonts w:cs="Arial"/>
                      <w:color w:val="3F1E68"/>
                    </w:rPr>
                    <w:t xml:space="preserve">44 20 3749 5000 </w:t>
                  </w:r>
                  <w:r w:rsidRPr="00B83CC3">
                    <w:rPr>
                      <w:rFonts w:cs="Arial"/>
                      <w:color w:val="3F1E68"/>
                    </w:rPr>
                    <w:t>· astrazeneca.com</w:t>
                  </w:r>
                </w:p>
              </w:tc>
            </w:tr>
          </w:tbl>
          <w:p w14:paraId="12482927" w14:textId="6DE45315" w:rsidR="00741F4C" w:rsidRPr="00741F4C" w:rsidRDefault="00741F4C">
            <w:pPr>
              <w:pStyle w:val="Footer"/>
              <w:jc w:val="right"/>
              <w:rPr>
                <w:sz w:val="16"/>
                <w:szCs w:val="16"/>
              </w:rPr>
            </w:pPr>
            <w:r w:rsidRPr="00741F4C">
              <w:rPr>
                <w:b/>
                <w:sz w:val="16"/>
                <w:szCs w:val="16"/>
              </w:rPr>
              <w:t xml:space="preserve">Page </w:t>
            </w:r>
            <w:r w:rsidRPr="00741F4C">
              <w:rPr>
                <w:b/>
                <w:bCs/>
                <w:sz w:val="16"/>
                <w:szCs w:val="16"/>
              </w:rPr>
              <w:fldChar w:fldCharType="begin"/>
            </w:r>
            <w:r w:rsidRPr="00741F4C">
              <w:rPr>
                <w:b/>
                <w:bCs/>
                <w:sz w:val="16"/>
                <w:szCs w:val="16"/>
              </w:rPr>
              <w:instrText xml:space="preserve"> PAGE </w:instrText>
            </w:r>
            <w:r w:rsidRPr="00741F4C">
              <w:rPr>
                <w:b/>
                <w:bCs/>
                <w:sz w:val="16"/>
                <w:szCs w:val="16"/>
              </w:rPr>
              <w:fldChar w:fldCharType="separate"/>
            </w:r>
            <w:r w:rsidRPr="00741F4C">
              <w:rPr>
                <w:b/>
                <w:bCs/>
                <w:noProof/>
                <w:sz w:val="16"/>
                <w:szCs w:val="16"/>
              </w:rPr>
              <w:t>2</w:t>
            </w:r>
            <w:r w:rsidRPr="00741F4C">
              <w:rPr>
                <w:b/>
                <w:bCs/>
                <w:sz w:val="16"/>
                <w:szCs w:val="16"/>
              </w:rPr>
              <w:fldChar w:fldCharType="end"/>
            </w:r>
            <w:r w:rsidRPr="00741F4C">
              <w:rPr>
                <w:b/>
                <w:bCs/>
                <w:sz w:val="16"/>
                <w:szCs w:val="16"/>
              </w:rPr>
              <w:t>/</w:t>
            </w:r>
            <w:r w:rsidRPr="00741F4C">
              <w:rPr>
                <w:b/>
                <w:bCs/>
                <w:sz w:val="16"/>
                <w:szCs w:val="16"/>
              </w:rPr>
              <w:fldChar w:fldCharType="begin"/>
            </w:r>
            <w:r w:rsidRPr="00741F4C">
              <w:rPr>
                <w:b/>
                <w:bCs/>
                <w:sz w:val="16"/>
                <w:szCs w:val="16"/>
              </w:rPr>
              <w:instrText xml:space="preserve"> NUMPAGES  </w:instrText>
            </w:r>
            <w:r w:rsidRPr="00741F4C">
              <w:rPr>
                <w:b/>
                <w:bCs/>
                <w:sz w:val="16"/>
                <w:szCs w:val="16"/>
              </w:rPr>
              <w:fldChar w:fldCharType="separate"/>
            </w:r>
            <w:r w:rsidRPr="00741F4C">
              <w:rPr>
                <w:b/>
                <w:bCs/>
                <w:noProof/>
                <w:sz w:val="16"/>
                <w:szCs w:val="16"/>
              </w:rPr>
              <w:t>2</w:t>
            </w:r>
            <w:r w:rsidRPr="00741F4C">
              <w:rPr>
                <w:b/>
                <w:bCs/>
                <w:sz w:val="16"/>
                <w:szCs w:val="16"/>
              </w:rPr>
              <w:fldChar w:fldCharType="end"/>
            </w:r>
          </w:p>
        </w:sdtContent>
      </w:sdt>
    </w:sdtContent>
  </w:sdt>
  <w:p w14:paraId="6E6491A0" w14:textId="77777777" w:rsidR="00571192" w:rsidRPr="00741F4C" w:rsidRDefault="0057119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8C30C" w14:textId="77777777" w:rsidR="008B7EA6" w:rsidRDefault="008B7EA6">
      <w:r>
        <w:separator/>
      </w:r>
    </w:p>
  </w:footnote>
  <w:footnote w:type="continuationSeparator" w:id="0">
    <w:p w14:paraId="4F8A94C8" w14:textId="77777777" w:rsidR="008B7EA6" w:rsidRDefault="008B7EA6">
      <w:r>
        <w:continuationSeparator/>
      </w:r>
    </w:p>
  </w:footnote>
  <w:footnote w:type="continuationNotice" w:id="1">
    <w:p w14:paraId="05A14428" w14:textId="77777777" w:rsidR="008B7EA6" w:rsidRDefault="008B7E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6C8AC" w14:textId="77777777" w:rsidR="00C96035" w:rsidRPr="00596484" w:rsidRDefault="00C96035" w:rsidP="005877FA">
    <w:pPr>
      <w:pStyle w:val="Header"/>
      <w:tabs>
        <w:tab w:val="clear" w:pos="4320"/>
        <w:tab w:val="clear" w:pos="8640"/>
      </w:tabs>
      <w:rPr>
        <w:rFonts w:cs="Arial"/>
        <w:color w:val="830051"/>
        <w:sz w:val="31"/>
        <w:szCs w:val="3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82A2C" w14:textId="77777777" w:rsidR="00AB7066" w:rsidRPr="00B67C6C" w:rsidRDefault="00AB7066" w:rsidP="00AB7066">
    <w:pPr>
      <w:pStyle w:val="Header"/>
      <w:tabs>
        <w:tab w:val="clear" w:pos="4320"/>
        <w:tab w:val="clear" w:pos="8640"/>
        <w:tab w:val="left" w:pos="4275"/>
      </w:tabs>
      <w:rPr>
        <w:rFonts w:cs="Arial"/>
        <w:color w:val="830051"/>
      </w:rPr>
    </w:pPr>
    <w:r w:rsidRPr="00B67C6C">
      <w:rPr>
        <w:noProof/>
        <w:color w:val="830051"/>
        <w:szCs w:val="36"/>
        <w:lang w:eastAsia="en-GB"/>
      </w:rPr>
      <w:drawing>
        <wp:anchor distT="0" distB="0" distL="114300" distR="114300" simplePos="0" relativeHeight="251658241" behindDoc="1" locked="0" layoutInCell="1" allowOverlap="1" wp14:anchorId="17419C93" wp14:editId="4B20642E">
          <wp:simplePos x="0" y="0"/>
          <wp:positionH relativeFrom="margin">
            <wp:align>right</wp:align>
          </wp:positionH>
          <wp:positionV relativeFrom="topMargin">
            <wp:posOffset>456565</wp:posOffset>
          </wp:positionV>
          <wp:extent cx="1600200" cy="481330"/>
          <wp:effectExtent l="0" t="0" r="0" b="0"/>
          <wp:wrapTight wrapText="bothSides">
            <wp:wrapPolygon edited="0">
              <wp:start x="0" y="0"/>
              <wp:lineTo x="0" y="20517"/>
              <wp:lineTo x="21343" y="20517"/>
              <wp:lineTo x="21343" y="0"/>
              <wp:lineTo x="0" y="0"/>
            </wp:wrapPolygon>
          </wp:wrapTight>
          <wp:docPr id="1" name="Picture 1" descr="AZ_RGB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_RGB_H_POS"/>
                  <pic:cNvPicPr>
                    <a:picLocks noChangeAspect="1" noChangeArrowheads="1"/>
                  </pic:cNvPicPr>
                </pic:nvPicPr>
                <pic:blipFill>
                  <a:blip r:embed="rId1"/>
                  <a:srcRect l="7884" r="8707" b="24120"/>
                  <a:stretch>
                    <a:fillRect/>
                  </a:stretch>
                </pic:blipFill>
                <pic:spPr bwMode="auto">
                  <a:xfrm>
                    <a:off x="0" y="0"/>
                    <a:ext cx="1600200" cy="481330"/>
                  </a:xfrm>
                  <a:prstGeom prst="rect">
                    <a:avLst/>
                  </a:prstGeom>
                  <a:noFill/>
                  <a:ln w="9525">
                    <a:noFill/>
                    <a:miter lim="800000"/>
                    <a:headEnd/>
                    <a:tailEnd/>
                  </a:ln>
                </pic:spPr>
              </pic:pic>
            </a:graphicData>
          </a:graphic>
        </wp:anchor>
      </w:drawing>
    </w:r>
    <w:r w:rsidRPr="00B67C6C">
      <w:rPr>
        <w:rFonts w:cs="Arial"/>
        <w:color w:val="830051"/>
      </w:rPr>
      <w:t>News Release</w:t>
    </w:r>
    <w:r w:rsidRPr="00B67C6C">
      <w:rPr>
        <w:rFonts w:cs="Arial"/>
        <w:color w:val="830051"/>
      </w:rPr>
      <w:tab/>
    </w:r>
  </w:p>
  <w:p w14:paraId="72969E3E" w14:textId="77777777" w:rsidR="00AB7066" w:rsidRPr="00B67C6C" w:rsidRDefault="00AB7066" w:rsidP="00AB7066">
    <w:pPr>
      <w:pStyle w:val="Header"/>
      <w:tabs>
        <w:tab w:val="clear" w:pos="4320"/>
        <w:tab w:val="clear" w:pos="8640"/>
      </w:tabs>
      <w:rPr>
        <w:rFonts w:cs="Arial"/>
        <w:color w:val="830051"/>
        <w:sz w:val="31"/>
        <w:szCs w:val="31"/>
      </w:rPr>
    </w:pPr>
    <w:r w:rsidRPr="00B67C6C">
      <w:rPr>
        <w:rFonts w:cs="Arial"/>
        <w:color w:val="830051"/>
        <w:sz w:val="31"/>
        <w:szCs w:val="31"/>
        <w:vertAlign w:val="subscript"/>
      </w:rPr>
      <w:t>Regulatory News Service</w:t>
    </w:r>
  </w:p>
  <w:p w14:paraId="24CB41B1" w14:textId="77777777" w:rsidR="00AB7066" w:rsidRDefault="00AB7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DCCB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20453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B5A34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B1C99B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5A4DC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F492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2CEBB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FEBE6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148DFE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4660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ECF0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A1279F"/>
    <w:multiLevelType w:val="hybridMultilevel"/>
    <w:tmpl w:val="8EA0F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83783A"/>
    <w:multiLevelType w:val="hybridMultilevel"/>
    <w:tmpl w:val="2E2E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8352D"/>
    <w:multiLevelType w:val="hybridMultilevel"/>
    <w:tmpl w:val="952E80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52458D"/>
    <w:multiLevelType w:val="hybridMultilevel"/>
    <w:tmpl w:val="2458943C"/>
    <w:lvl w:ilvl="0" w:tplc="02002E36">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32BAC"/>
    <w:multiLevelType w:val="hybridMultilevel"/>
    <w:tmpl w:val="4DE6EA26"/>
    <w:lvl w:ilvl="0" w:tplc="4C389876">
      <w:start w:val="1"/>
      <w:numFmt w:val="bullet"/>
      <w:lvlText w:val="•"/>
      <w:lvlJc w:val="left"/>
      <w:pPr>
        <w:tabs>
          <w:tab w:val="num" w:pos="360"/>
        </w:tabs>
        <w:ind w:left="360" w:hanging="360"/>
      </w:pPr>
      <w:rPr>
        <w:rFonts w:ascii="Arial" w:hAnsi="Arial" w:hint="default"/>
      </w:rPr>
    </w:lvl>
    <w:lvl w:ilvl="1" w:tplc="5EC66B66" w:tentative="1">
      <w:start w:val="1"/>
      <w:numFmt w:val="bullet"/>
      <w:lvlText w:val="•"/>
      <w:lvlJc w:val="left"/>
      <w:pPr>
        <w:tabs>
          <w:tab w:val="num" w:pos="1080"/>
        </w:tabs>
        <w:ind w:left="1080" w:hanging="360"/>
      </w:pPr>
      <w:rPr>
        <w:rFonts w:ascii="Arial" w:hAnsi="Arial" w:hint="default"/>
      </w:rPr>
    </w:lvl>
    <w:lvl w:ilvl="2" w:tplc="803626E2" w:tentative="1">
      <w:start w:val="1"/>
      <w:numFmt w:val="bullet"/>
      <w:lvlText w:val="•"/>
      <w:lvlJc w:val="left"/>
      <w:pPr>
        <w:tabs>
          <w:tab w:val="num" w:pos="1800"/>
        </w:tabs>
        <w:ind w:left="1800" w:hanging="360"/>
      </w:pPr>
      <w:rPr>
        <w:rFonts w:ascii="Arial" w:hAnsi="Arial" w:hint="default"/>
      </w:rPr>
    </w:lvl>
    <w:lvl w:ilvl="3" w:tplc="24D42866" w:tentative="1">
      <w:start w:val="1"/>
      <w:numFmt w:val="bullet"/>
      <w:lvlText w:val="•"/>
      <w:lvlJc w:val="left"/>
      <w:pPr>
        <w:tabs>
          <w:tab w:val="num" w:pos="2520"/>
        </w:tabs>
        <w:ind w:left="2520" w:hanging="360"/>
      </w:pPr>
      <w:rPr>
        <w:rFonts w:ascii="Arial" w:hAnsi="Arial" w:hint="default"/>
      </w:rPr>
    </w:lvl>
    <w:lvl w:ilvl="4" w:tplc="246463EA" w:tentative="1">
      <w:start w:val="1"/>
      <w:numFmt w:val="bullet"/>
      <w:lvlText w:val="•"/>
      <w:lvlJc w:val="left"/>
      <w:pPr>
        <w:tabs>
          <w:tab w:val="num" w:pos="3240"/>
        </w:tabs>
        <w:ind w:left="3240" w:hanging="360"/>
      </w:pPr>
      <w:rPr>
        <w:rFonts w:ascii="Arial" w:hAnsi="Arial" w:hint="default"/>
      </w:rPr>
    </w:lvl>
    <w:lvl w:ilvl="5" w:tplc="6FFA5322" w:tentative="1">
      <w:start w:val="1"/>
      <w:numFmt w:val="bullet"/>
      <w:lvlText w:val="•"/>
      <w:lvlJc w:val="left"/>
      <w:pPr>
        <w:tabs>
          <w:tab w:val="num" w:pos="3960"/>
        </w:tabs>
        <w:ind w:left="3960" w:hanging="360"/>
      </w:pPr>
      <w:rPr>
        <w:rFonts w:ascii="Arial" w:hAnsi="Arial" w:hint="default"/>
      </w:rPr>
    </w:lvl>
    <w:lvl w:ilvl="6" w:tplc="B5BA172E" w:tentative="1">
      <w:start w:val="1"/>
      <w:numFmt w:val="bullet"/>
      <w:lvlText w:val="•"/>
      <w:lvlJc w:val="left"/>
      <w:pPr>
        <w:tabs>
          <w:tab w:val="num" w:pos="4680"/>
        </w:tabs>
        <w:ind w:left="4680" w:hanging="360"/>
      </w:pPr>
      <w:rPr>
        <w:rFonts w:ascii="Arial" w:hAnsi="Arial" w:hint="default"/>
      </w:rPr>
    </w:lvl>
    <w:lvl w:ilvl="7" w:tplc="8AC631E8" w:tentative="1">
      <w:start w:val="1"/>
      <w:numFmt w:val="bullet"/>
      <w:lvlText w:val="•"/>
      <w:lvlJc w:val="left"/>
      <w:pPr>
        <w:tabs>
          <w:tab w:val="num" w:pos="5400"/>
        </w:tabs>
        <w:ind w:left="5400" w:hanging="360"/>
      </w:pPr>
      <w:rPr>
        <w:rFonts w:ascii="Arial" w:hAnsi="Arial" w:hint="default"/>
      </w:rPr>
    </w:lvl>
    <w:lvl w:ilvl="8" w:tplc="E306156E"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494A5AFD"/>
    <w:multiLevelType w:val="hybridMultilevel"/>
    <w:tmpl w:val="B85E843E"/>
    <w:lvl w:ilvl="0" w:tplc="08090007">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516838"/>
    <w:multiLevelType w:val="hybridMultilevel"/>
    <w:tmpl w:val="A98E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A15AE7"/>
    <w:multiLevelType w:val="hybridMultilevel"/>
    <w:tmpl w:val="4128EE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6EF27CC"/>
    <w:multiLevelType w:val="hybridMultilevel"/>
    <w:tmpl w:val="DD06B6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FF27923"/>
    <w:multiLevelType w:val="hybridMultilevel"/>
    <w:tmpl w:val="1220B91A"/>
    <w:lvl w:ilvl="0" w:tplc="8B48ED9C">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num>
  <w:num w:numId="18">
    <w:abstractNumId w:val="17"/>
  </w:num>
  <w:num w:numId="19">
    <w:abstractNumId w:val="11"/>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da-DK"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37"/>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E1F"/>
    <w:rsid w:val="000013AF"/>
    <w:rsid w:val="0000160A"/>
    <w:rsid w:val="00003270"/>
    <w:rsid w:val="0001543C"/>
    <w:rsid w:val="000212D4"/>
    <w:rsid w:val="00021781"/>
    <w:rsid w:val="00021CF0"/>
    <w:rsid w:val="00027D3F"/>
    <w:rsid w:val="000322EA"/>
    <w:rsid w:val="00034929"/>
    <w:rsid w:val="00037707"/>
    <w:rsid w:val="00041677"/>
    <w:rsid w:val="00041ED8"/>
    <w:rsid w:val="00041F22"/>
    <w:rsid w:val="00042C72"/>
    <w:rsid w:val="00043470"/>
    <w:rsid w:val="00050F9D"/>
    <w:rsid w:val="0005190D"/>
    <w:rsid w:val="00065A78"/>
    <w:rsid w:val="00066511"/>
    <w:rsid w:val="00071B16"/>
    <w:rsid w:val="00074192"/>
    <w:rsid w:val="000756C3"/>
    <w:rsid w:val="00077E86"/>
    <w:rsid w:val="00081A3A"/>
    <w:rsid w:val="00081AA5"/>
    <w:rsid w:val="00084272"/>
    <w:rsid w:val="000861F3"/>
    <w:rsid w:val="00090BB7"/>
    <w:rsid w:val="00091092"/>
    <w:rsid w:val="00093CAA"/>
    <w:rsid w:val="00096061"/>
    <w:rsid w:val="000A06C6"/>
    <w:rsid w:val="000A16E1"/>
    <w:rsid w:val="000A5BDB"/>
    <w:rsid w:val="000A75E2"/>
    <w:rsid w:val="000B15BF"/>
    <w:rsid w:val="000B26F2"/>
    <w:rsid w:val="000B3ED1"/>
    <w:rsid w:val="000B4277"/>
    <w:rsid w:val="000B64C4"/>
    <w:rsid w:val="000B76ED"/>
    <w:rsid w:val="000C04AA"/>
    <w:rsid w:val="000C27CF"/>
    <w:rsid w:val="000C34B1"/>
    <w:rsid w:val="000C5295"/>
    <w:rsid w:val="000D7637"/>
    <w:rsid w:val="000E1E05"/>
    <w:rsid w:val="000E3026"/>
    <w:rsid w:val="000F018B"/>
    <w:rsid w:val="000F01A4"/>
    <w:rsid w:val="000F7CFD"/>
    <w:rsid w:val="00102305"/>
    <w:rsid w:val="001026DC"/>
    <w:rsid w:val="00103D77"/>
    <w:rsid w:val="00104830"/>
    <w:rsid w:val="00104CEE"/>
    <w:rsid w:val="0011142F"/>
    <w:rsid w:val="00111DBF"/>
    <w:rsid w:val="00112989"/>
    <w:rsid w:val="001151CD"/>
    <w:rsid w:val="00116EE4"/>
    <w:rsid w:val="00125A2A"/>
    <w:rsid w:val="001332A9"/>
    <w:rsid w:val="001336AC"/>
    <w:rsid w:val="00136BAD"/>
    <w:rsid w:val="00136DB3"/>
    <w:rsid w:val="00136F3A"/>
    <w:rsid w:val="00137970"/>
    <w:rsid w:val="001418AE"/>
    <w:rsid w:val="0014305D"/>
    <w:rsid w:val="00160C7F"/>
    <w:rsid w:val="001631DD"/>
    <w:rsid w:val="00164A47"/>
    <w:rsid w:val="00167DF8"/>
    <w:rsid w:val="00170DE7"/>
    <w:rsid w:val="00175131"/>
    <w:rsid w:val="00182739"/>
    <w:rsid w:val="001830F3"/>
    <w:rsid w:val="001A4232"/>
    <w:rsid w:val="001B0422"/>
    <w:rsid w:val="001B74D7"/>
    <w:rsid w:val="001C1E3F"/>
    <w:rsid w:val="001C299C"/>
    <w:rsid w:val="001C7BDF"/>
    <w:rsid w:val="001E1117"/>
    <w:rsid w:val="001E2962"/>
    <w:rsid w:val="001E3C06"/>
    <w:rsid w:val="001E4DA4"/>
    <w:rsid w:val="001F0A0B"/>
    <w:rsid w:val="001F5085"/>
    <w:rsid w:val="001F51CC"/>
    <w:rsid w:val="001F5C76"/>
    <w:rsid w:val="00204D5B"/>
    <w:rsid w:val="00204E0A"/>
    <w:rsid w:val="00206BD8"/>
    <w:rsid w:val="002100C4"/>
    <w:rsid w:val="0021026B"/>
    <w:rsid w:val="00211764"/>
    <w:rsid w:val="00212CAB"/>
    <w:rsid w:val="002165FD"/>
    <w:rsid w:val="0022054F"/>
    <w:rsid w:val="002216FD"/>
    <w:rsid w:val="00221C6C"/>
    <w:rsid w:val="0022242F"/>
    <w:rsid w:val="0022564E"/>
    <w:rsid w:val="00226350"/>
    <w:rsid w:val="00227D16"/>
    <w:rsid w:val="00230740"/>
    <w:rsid w:val="0023257D"/>
    <w:rsid w:val="002364DB"/>
    <w:rsid w:val="00237B88"/>
    <w:rsid w:val="00242F1D"/>
    <w:rsid w:val="00243407"/>
    <w:rsid w:val="0024690F"/>
    <w:rsid w:val="00247E6C"/>
    <w:rsid w:val="00253222"/>
    <w:rsid w:val="002553C8"/>
    <w:rsid w:val="00256730"/>
    <w:rsid w:val="00261EBC"/>
    <w:rsid w:val="002656A2"/>
    <w:rsid w:val="00265F06"/>
    <w:rsid w:val="0027051E"/>
    <w:rsid w:val="00284197"/>
    <w:rsid w:val="00285C84"/>
    <w:rsid w:val="0028691D"/>
    <w:rsid w:val="00287F78"/>
    <w:rsid w:val="00290107"/>
    <w:rsid w:val="00291064"/>
    <w:rsid w:val="00291AAA"/>
    <w:rsid w:val="002943CF"/>
    <w:rsid w:val="00295892"/>
    <w:rsid w:val="002A032D"/>
    <w:rsid w:val="002A20AA"/>
    <w:rsid w:val="002C0606"/>
    <w:rsid w:val="002C0B37"/>
    <w:rsid w:val="002C56EF"/>
    <w:rsid w:val="002D058D"/>
    <w:rsid w:val="002D11AF"/>
    <w:rsid w:val="002D7760"/>
    <w:rsid w:val="002E568B"/>
    <w:rsid w:val="002E639A"/>
    <w:rsid w:val="002F6738"/>
    <w:rsid w:val="00302ABB"/>
    <w:rsid w:val="0030551B"/>
    <w:rsid w:val="003057D8"/>
    <w:rsid w:val="00305CB2"/>
    <w:rsid w:val="00305DFC"/>
    <w:rsid w:val="003070E2"/>
    <w:rsid w:val="0030E8FD"/>
    <w:rsid w:val="00311330"/>
    <w:rsid w:val="00311644"/>
    <w:rsid w:val="00313B48"/>
    <w:rsid w:val="003221B3"/>
    <w:rsid w:val="00322A85"/>
    <w:rsid w:val="00323B3B"/>
    <w:rsid w:val="00330909"/>
    <w:rsid w:val="00334802"/>
    <w:rsid w:val="0033713B"/>
    <w:rsid w:val="0034389F"/>
    <w:rsid w:val="003478B6"/>
    <w:rsid w:val="00356207"/>
    <w:rsid w:val="00360FC5"/>
    <w:rsid w:val="0037147F"/>
    <w:rsid w:val="003739CD"/>
    <w:rsid w:val="0037743F"/>
    <w:rsid w:val="00381808"/>
    <w:rsid w:val="00383301"/>
    <w:rsid w:val="00390495"/>
    <w:rsid w:val="00390F0C"/>
    <w:rsid w:val="00395D34"/>
    <w:rsid w:val="003A2C44"/>
    <w:rsid w:val="003A43CF"/>
    <w:rsid w:val="003B79BC"/>
    <w:rsid w:val="003C5DD9"/>
    <w:rsid w:val="003C74F9"/>
    <w:rsid w:val="003D1016"/>
    <w:rsid w:val="003D1384"/>
    <w:rsid w:val="003D20B0"/>
    <w:rsid w:val="003D42D6"/>
    <w:rsid w:val="003D4AF9"/>
    <w:rsid w:val="003E07A3"/>
    <w:rsid w:val="003E1D82"/>
    <w:rsid w:val="003E27FE"/>
    <w:rsid w:val="003E55D0"/>
    <w:rsid w:val="003E5913"/>
    <w:rsid w:val="003F41D4"/>
    <w:rsid w:val="003F4614"/>
    <w:rsid w:val="00400A86"/>
    <w:rsid w:val="00400F7C"/>
    <w:rsid w:val="0040330B"/>
    <w:rsid w:val="0040568E"/>
    <w:rsid w:val="00411E48"/>
    <w:rsid w:val="00416085"/>
    <w:rsid w:val="004233C2"/>
    <w:rsid w:val="00423AD8"/>
    <w:rsid w:val="004243B6"/>
    <w:rsid w:val="004252DE"/>
    <w:rsid w:val="004263F0"/>
    <w:rsid w:val="00426603"/>
    <w:rsid w:val="00434921"/>
    <w:rsid w:val="004435D8"/>
    <w:rsid w:val="00444075"/>
    <w:rsid w:val="00456972"/>
    <w:rsid w:val="00456F5C"/>
    <w:rsid w:val="00461337"/>
    <w:rsid w:val="0046375F"/>
    <w:rsid w:val="00472F93"/>
    <w:rsid w:val="00477235"/>
    <w:rsid w:val="00477D3C"/>
    <w:rsid w:val="00480DE7"/>
    <w:rsid w:val="0048782C"/>
    <w:rsid w:val="004916B0"/>
    <w:rsid w:val="004943E2"/>
    <w:rsid w:val="00496830"/>
    <w:rsid w:val="004A0414"/>
    <w:rsid w:val="004A05CE"/>
    <w:rsid w:val="004B033F"/>
    <w:rsid w:val="004B3206"/>
    <w:rsid w:val="004B368F"/>
    <w:rsid w:val="004B5BDA"/>
    <w:rsid w:val="004D10CD"/>
    <w:rsid w:val="004D2414"/>
    <w:rsid w:val="004D2FD7"/>
    <w:rsid w:val="004E5913"/>
    <w:rsid w:val="004E7D13"/>
    <w:rsid w:val="004F0744"/>
    <w:rsid w:val="004F079E"/>
    <w:rsid w:val="00500215"/>
    <w:rsid w:val="00504091"/>
    <w:rsid w:val="00507369"/>
    <w:rsid w:val="005109A5"/>
    <w:rsid w:val="00513266"/>
    <w:rsid w:val="00515207"/>
    <w:rsid w:val="005221F0"/>
    <w:rsid w:val="00523117"/>
    <w:rsid w:val="005303DA"/>
    <w:rsid w:val="00532F4E"/>
    <w:rsid w:val="00536170"/>
    <w:rsid w:val="0053799C"/>
    <w:rsid w:val="0054106B"/>
    <w:rsid w:val="005461B4"/>
    <w:rsid w:val="00546CD9"/>
    <w:rsid w:val="00551AD6"/>
    <w:rsid w:val="00552A5A"/>
    <w:rsid w:val="00552F80"/>
    <w:rsid w:val="00564F1F"/>
    <w:rsid w:val="00566859"/>
    <w:rsid w:val="00571030"/>
    <w:rsid w:val="00571192"/>
    <w:rsid w:val="00571CD3"/>
    <w:rsid w:val="005834F5"/>
    <w:rsid w:val="00583BCE"/>
    <w:rsid w:val="0058717D"/>
    <w:rsid w:val="005877FA"/>
    <w:rsid w:val="00591870"/>
    <w:rsid w:val="00591B98"/>
    <w:rsid w:val="00593656"/>
    <w:rsid w:val="00596484"/>
    <w:rsid w:val="005A29B8"/>
    <w:rsid w:val="005A42D6"/>
    <w:rsid w:val="005A45D3"/>
    <w:rsid w:val="005A5482"/>
    <w:rsid w:val="005A5AD7"/>
    <w:rsid w:val="005B0AFD"/>
    <w:rsid w:val="005B289E"/>
    <w:rsid w:val="005B3CAA"/>
    <w:rsid w:val="005B3FB3"/>
    <w:rsid w:val="005B6EA5"/>
    <w:rsid w:val="005C49D0"/>
    <w:rsid w:val="005E1B62"/>
    <w:rsid w:val="005E462B"/>
    <w:rsid w:val="005E71B5"/>
    <w:rsid w:val="005F1C98"/>
    <w:rsid w:val="00604FF5"/>
    <w:rsid w:val="00605E57"/>
    <w:rsid w:val="00606C5C"/>
    <w:rsid w:val="006108C0"/>
    <w:rsid w:val="00614A9D"/>
    <w:rsid w:val="00620311"/>
    <w:rsid w:val="0062125F"/>
    <w:rsid w:val="006279E1"/>
    <w:rsid w:val="006315CD"/>
    <w:rsid w:val="006336AC"/>
    <w:rsid w:val="00640FAD"/>
    <w:rsid w:val="00641EB3"/>
    <w:rsid w:val="006446C4"/>
    <w:rsid w:val="0064483B"/>
    <w:rsid w:val="00645C61"/>
    <w:rsid w:val="006524B3"/>
    <w:rsid w:val="0065251B"/>
    <w:rsid w:val="006533EF"/>
    <w:rsid w:val="00654E96"/>
    <w:rsid w:val="00662E87"/>
    <w:rsid w:val="00662F24"/>
    <w:rsid w:val="00665522"/>
    <w:rsid w:val="00673CF8"/>
    <w:rsid w:val="00674287"/>
    <w:rsid w:val="006748A1"/>
    <w:rsid w:val="00675B35"/>
    <w:rsid w:val="0067757B"/>
    <w:rsid w:val="00681F2B"/>
    <w:rsid w:val="00684490"/>
    <w:rsid w:val="00684587"/>
    <w:rsid w:val="00687248"/>
    <w:rsid w:val="00692693"/>
    <w:rsid w:val="006937BB"/>
    <w:rsid w:val="00694227"/>
    <w:rsid w:val="006A05D8"/>
    <w:rsid w:val="006A1DD4"/>
    <w:rsid w:val="006B14FE"/>
    <w:rsid w:val="006B2728"/>
    <w:rsid w:val="006B2B3E"/>
    <w:rsid w:val="006B555E"/>
    <w:rsid w:val="006C1B40"/>
    <w:rsid w:val="006C4633"/>
    <w:rsid w:val="006C7F6B"/>
    <w:rsid w:val="006D0691"/>
    <w:rsid w:val="006D08D6"/>
    <w:rsid w:val="006D4759"/>
    <w:rsid w:val="006D5864"/>
    <w:rsid w:val="006D5CAF"/>
    <w:rsid w:val="006D6535"/>
    <w:rsid w:val="006D6C45"/>
    <w:rsid w:val="006D6D89"/>
    <w:rsid w:val="006E652D"/>
    <w:rsid w:val="006E6675"/>
    <w:rsid w:val="006E6BF0"/>
    <w:rsid w:val="006F0C07"/>
    <w:rsid w:val="006F2CE0"/>
    <w:rsid w:val="006F5DFA"/>
    <w:rsid w:val="007016D9"/>
    <w:rsid w:val="007021C7"/>
    <w:rsid w:val="00705432"/>
    <w:rsid w:val="00705691"/>
    <w:rsid w:val="007137E8"/>
    <w:rsid w:val="007158E3"/>
    <w:rsid w:val="007163E0"/>
    <w:rsid w:val="00717290"/>
    <w:rsid w:val="00717CAA"/>
    <w:rsid w:val="00724C44"/>
    <w:rsid w:val="00734292"/>
    <w:rsid w:val="0073794B"/>
    <w:rsid w:val="00741F4C"/>
    <w:rsid w:val="00742A5C"/>
    <w:rsid w:val="007451E8"/>
    <w:rsid w:val="007452EA"/>
    <w:rsid w:val="0074750C"/>
    <w:rsid w:val="00747AF6"/>
    <w:rsid w:val="00753D38"/>
    <w:rsid w:val="00753E00"/>
    <w:rsid w:val="00754C33"/>
    <w:rsid w:val="007675BB"/>
    <w:rsid w:val="00770150"/>
    <w:rsid w:val="00771EA6"/>
    <w:rsid w:val="00776CAF"/>
    <w:rsid w:val="007869B4"/>
    <w:rsid w:val="00787EDA"/>
    <w:rsid w:val="00796365"/>
    <w:rsid w:val="007A47BB"/>
    <w:rsid w:val="007A5623"/>
    <w:rsid w:val="007A76EC"/>
    <w:rsid w:val="007B393A"/>
    <w:rsid w:val="007B4B26"/>
    <w:rsid w:val="007B53CA"/>
    <w:rsid w:val="007B65E7"/>
    <w:rsid w:val="007C343F"/>
    <w:rsid w:val="007C5BCB"/>
    <w:rsid w:val="007D1910"/>
    <w:rsid w:val="007D46A6"/>
    <w:rsid w:val="007D4CF5"/>
    <w:rsid w:val="007E4C6B"/>
    <w:rsid w:val="007E5841"/>
    <w:rsid w:val="007E7D68"/>
    <w:rsid w:val="007F05EA"/>
    <w:rsid w:val="007F07DD"/>
    <w:rsid w:val="007F0F58"/>
    <w:rsid w:val="007F4567"/>
    <w:rsid w:val="007F495E"/>
    <w:rsid w:val="007F53B2"/>
    <w:rsid w:val="007F5425"/>
    <w:rsid w:val="00805584"/>
    <w:rsid w:val="00806FDA"/>
    <w:rsid w:val="0080762C"/>
    <w:rsid w:val="0081150F"/>
    <w:rsid w:val="008126F8"/>
    <w:rsid w:val="00812CA3"/>
    <w:rsid w:val="00817B5D"/>
    <w:rsid w:val="0082137D"/>
    <w:rsid w:val="008237AC"/>
    <w:rsid w:val="008238C8"/>
    <w:rsid w:val="008261DE"/>
    <w:rsid w:val="008276C2"/>
    <w:rsid w:val="008300F9"/>
    <w:rsid w:val="008414E8"/>
    <w:rsid w:val="00847332"/>
    <w:rsid w:val="008503BC"/>
    <w:rsid w:val="008535E0"/>
    <w:rsid w:val="00855476"/>
    <w:rsid w:val="00861A0D"/>
    <w:rsid w:val="00862228"/>
    <w:rsid w:val="008642E0"/>
    <w:rsid w:val="00864377"/>
    <w:rsid w:val="00867CD7"/>
    <w:rsid w:val="00870733"/>
    <w:rsid w:val="00870806"/>
    <w:rsid w:val="00874D95"/>
    <w:rsid w:val="00875109"/>
    <w:rsid w:val="0088080D"/>
    <w:rsid w:val="00881F9C"/>
    <w:rsid w:val="008837B1"/>
    <w:rsid w:val="00885B77"/>
    <w:rsid w:val="00886CEC"/>
    <w:rsid w:val="008954E0"/>
    <w:rsid w:val="00897804"/>
    <w:rsid w:val="008A1903"/>
    <w:rsid w:val="008A4D00"/>
    <w:rsid w:val="008A53FF"/>
    <w:rsid w:val="008B1625"/>
    <w:rsid w:val="008B7EA6"/>
    <w:rsid w:val="008C02CF"/>
    <w:rsid w:val="008C55D4"/>
    <w:rsid w:val="008C6005"/>
    <w:rsid w:val="008D0DBC"/>
    <w:rsid w:val="008D5789"/>
    <w:rsid w:val="008E1AF0"/>
    <w:rsid w:val="008E23F6"/>
    <w:rsid w:val="008E25A5"/>
    <w:rsid w:val="008E41F4"/>
    <w:rsid w:val="008F0C26"/>
    <w:rsid w:val="008F0DD5"/>
    <w:rsid w:val="008F1981"/>
    <w:rsid w:val="008F6174"/>
    <w:rsid w:val="009046E1"/>
    <w:rsid w:val="00907497"/>
    <w:rsid w:val="00910A72"/>
    <w:rsid w:val="009127B6"/>
    <w:rsid w:val="009149B0"/>
    <w:rsid w:val="009158C2"/>
    <w:rsid w:val="00915D14"/>
    <w:rsid w:val="009166EB"/>
    <w:rsid w:val="0092234C"/>
    <w:rsid w:val="00923C76"/>
    <w:rsid w:val="0092507D"/>
    <w:rsid w:val="00925B3B"/>
    <w:rsid w:val="00933C6E"/>
    <w:rsid w:val="00935150"/>
    <w:rsid w:val="009468BC"/>
    <w:rsid w:val="00947972"/>
    <w:rsid w:val="00951C55"/>
    <w:rsid w:val="00957706"/>
    <w:rsid w:val="00957DB8"/>
    <w:rsid w:val="00961FF8"/>
    <w:rsid w:val="009632D8"/>
    <w:rsid w:val="009644CC"/>
    <w:rsid w:val="009649D6"/>
    <w:rsid w:val="00965FEC"/>
    <w:rsid w:val="0097185E"/>
    <w:rsid w:val="0097593F"/>
    <w:rsid w:val="0097720F"/>
    <w:rsid w:val="00985A58"/>
    <w:rsid w:val="009A3687"/>
    <w:rsid w:val="009A4955"/>
    <w:rsid w:val="009B0D68"/>
    <w:rsid w:val="009B66FD"/>
    <w:rsid w:val="009B6E6D"/>
    <w:rsid w:val="009B746A"/>
    <w:rsid w:val="009C0B67"/>
    <w:rsid w:val="009C230B"/>
    <w:rsid w:val="009C3B9F"/>
    <w:rsid w:val="009C57B7"/>
    <w:rsid w:val="009C6ADC"/>
    <w:rsid w:val="009D0DCD"/>
    <w:rsid w:val="009D1F01"/>
    <w:rsid w:val="009D427F"/>
    <w:rsid w:val="009D6652"/>
    <w:rsid w:val="009E5868"/>
    <w:rsid w:val="009F6C28"/>
    <w:rsid w:val="009F7197"/>
    <w:rsid w:val="009F7F80"/>
    <w:rsid w:val="00A0369C"/>
    <w:rsid w:val="00A042D9"/>
    <w:rsid w:val="00A20D6A"/>
    <w:rsid w:val="00A24FCE"/>
    <w:rsid w:val="00A30437"/>
    <w:rsid w:val="00A327BA"/>
    <w:rsid w:val="00A41BCF"/>
    <w:rsid w:val="00A424D8"/>
    <w:rsid w:val="00A64FC8"/>
    <w:rsid w:val="00A66E2B"/>
    <w:rsid w:val="00A72775"/>
    <w:rsid w:val="00A80273"/>
    <w:rsid w:val="00A81E31"/>
    <w:rsid w:val="00A853AF"/>
    <w:rsid w:val="00A915E6"/>
    <w:rsid w:val="00A917D3"/>
    <w:rsid w:val="00A9183B"/>
    <w:rsid w:val="00A93C8B"/>
    <w:rsid w:val="00A96174"/>
    <w:rsid w:val="00A96CA4"/>
    <w:rsid w:val="00AA1FFA"/>
    <w:rsid w:val="00AA45FB"/>
    <w:rsid w:val="00AA5FCA"/>
    <w:rsid w:val="00AB2ECA"/>
    <w:rsid w:val="00AB358B"/>
    <w:rsid w:val="00AB7066"/>
    <w:rsid w:val="00AC1321"/>
    <w:rsid w:val="00AC177E"/>
    <w:rsid w:val="00AC3425"/>
    <w:rsid w:val="00AC6B72"/>
    <w:rsid w:val="00AD0D7A"/>
    <w:rsid w:val="00AD2E02"/>
    <w:rsid w:val="00AD5A19"/>
    <w:rsid w:val="00AD6A3F"/>
    <w:rsid w:val="00AE2663"/>
    <w:rsid w:val="00AF1852"/>
    <w:rsid w:val="00AF1B7B"/>
    <w:rsid w:val="00B02416"/>
    <w:rsid w:val="00B02C53"/>
    <w:rsid w:val="00B057EA"/>
    <w:rsid w:val="00B1219A"/>
    <w:rsid w:val="00B14ADC"/>
    <w:rsid w:val="00B23C4A"/>
    <w:rsid w:val="00B242D0"/>
    <w:rsid w:val="00B24E06"/>
    <w:rsid w:val="00B31E4A"/>
    <w:rsid w:val="00B33CC3"/>
    <w:rsid w:val="00B3460A"/>
    <w:rsid w:val="00B36874"/>
    <w:rsid w:val="00B37CF0"/>
    <w:rsid w:val="00B43831"/>
    <w:rsid w:val="00B46E92"/>
    <w:rsid w:val="00B474B7"/>
    <w:rsid w:val="00B53DEC"/>
    <w:rsid w:val="00B57295"/>
    <w:rsid w:val="00B632E4"/>
    <w:rsid w:val="00B751DD"/>
    <w:rsid w:val="00B762A7"/>
    <w:rsid w:val="00B7708D"/>
    <w:rsid w:val="00B80DD8"/>
    <w:rsid w:val="00B817FA"/>
    <w:rsid w:val="00B83CC3"/>
    <w:rsid w:val="00B83F41"/>
    <w:rsid w:val="00B84A0F"/>
    <w:rsid w:val="00B854D6"/>
    <w:rsid w:val="00B94B48"/>
    <w:rsid w:val="00B9795D"/>
    <w:rsid w:val="00BA67FC"/>
    <w:rsid w:val="00BB6576"/>
    <w:rsid w:val="00BB7954"/>
    <w:rsid w:val="00BC48A1"/>
    <w:rsid w:val="00BD4C6F"/>
    <w:rsid w:val="00BD55C1"/>
    <w:rsid w:val="00BE27EB"/>
    <w:rsid w:val="00BE7BC7"/>
    <w:rsid w:val="00BF0719"/>
    <w:rsid w:val="00BF1A54"/>
    <w:rsid w:val="00BF3E0C"/>
    <w:rsid w:val="00BF470A"/>
    <w:rsid w:val="00C00600"/>
    <w:rsid w:val="00C0566A"/>
    <w:rsid w:val="00C05F15"/>
    <w:rsid w:val="00C063B6"/>
    <w:rsid w:val="00C1056A"/>
    <w:rsid w:val="00C106EB"/>
    <w:rsid w:val="00C16141"/>
    <w:rsid w:val="00C173FD"/>
    <w:rsid w:val="00C304DC"/>
    <w:rsid w:val="00C34565"/>
    <w:rsid w:val="00C345D5"/>
    <w:rsid w:val="00C412B6"/>
    <w:rsid w:val="00C4276E"/>
    <w:rsid w:val="00C44CDF"/>
    <w:rsid w:val="00C46007"/>
    <w:rsid w:val="00C46091"/>
    <w:rsid w:val="00C51136"/>
    <w:rsid w:val="00C51322"/>
    <w:rsid w:val="00C61799"/>
    <w:rsid w:val="00C61C37"/>
    <w:rsid w:val="00C61D6A"/>
    <w:rsid w:val="00C66E1A"/>
    <w:rsid w:val="00C7062C"/>
    <w:rsid w:val="00C71D01"/>
    <w:rsid w:val="00C71D30"/>
    <w:rsid w:val="00C7479A"/>
    <w:rsid w:val="00C77990"/>
    <w:rsid w:val="00C77A6B"/>
    <w:rsid w:val="00C87C02"/>
    <w:rsid w:val="00C902A7"/>
    <w:rsid w:val="00C90795"/>
    <w:rsid w:val="00C944FD"/>
    <w:rsid w:val="00C96035"/>
    <w:rsid w:val="00C96189"/>
    <w:rsid w:val="00CA5394"/>
    <w:rsid w:val="00CB032D"/>
    <w:rsid w:val="00CB0EFF"/>
    <w:rsid w:val="00CB304A"/>
    <w:rsid w:val="00CB362B"/>
    <w:rsid w:val="00CB3CDE"/>
    <w:rsid w:val="00CC438C"/>
    <w:rsid w:val="00CC5569"/>
    <w:rsid w:val="00CD791E"/>
    <w:rsid w:val="00CE0B2B"/>
    <w:rsid w:val="00CE548B"/>
    <w:rsid w:val="00CF2EE3"/>
    <w:rsid w:val="00CF4606"/>
    <w:rsid w:val="00CF7B33"/>
    <w:rsid w:val="00D02809"/>
    <w:rsid w:val="00D02B77"/>
    <w:rsid w:val="00D05201"/>
    <w:rsid w:val="00D07CB4"/>
    <w:rsid w:val="00D11B79"/>
    <w:rsid w:val="00D20D61"/>
    <w:rsid w:val="00D20E1F"/>
    <w:rsid w:val="00D2407F"/>
    <w:rsid w:val="00D33385"/>
    <w:rsid w:val="00D37A02"/>
    <w:rsid w:val="00D402C8"/>
    <w:rsid w:val="00D503F6"/>
    <w:rsid w:val="00D56D88"/>
    <w:rsid w:val="00D61134"/>
    <w:rsid w:val="00D62660"/>
    <w:rsid w:val="00D62EB4"/>
    <w:rsid w:val="00D7618D"/>
    <w:rsid w:val="00D8145E"/>
    <w:rsid w:val="00D86305"/>
    <w:rsid w:val="00D904B4"/>
    <w:rsid w:val="00D91D82"/>
    <w:rsid w:val="00D92B8F"/>
    <w:rsid w:val="00D92F63"/>
    <w:rsid w:val="00D93E0D"/>
    <w:rsid w:val="00D961BB"/>
    <w:rsid w:val="00D97E6D"/>
    <w:rsid w:val="00DA14FF"/>
    <w:rsid w:val="00DA1A64"/>
    <w:rsid w:val="00DA3999"/>
    <w:rsid w:val="00DA7389"/>
    <w:rsid w:val="00DB393C"/>
    <w:rsid w:val="00DC14B7"/>
    <w:rsid w:val="00DC3DBB"/>
    <w:rsid w:val="00DC5060"/>
    <w:rsid w:val="00DC645A"/>
    <w:rsid w:val="00DD0C71"/>
    <w:rsid w:val="00DD0D68"/>
    <w:rsid w:val="00DD4EC8"/>
    <w:rsid w:val="00DD6ADC"/>
    <w:rsid w:val="00DE23FC"/>
    <w:rsid w:val="00DE6D60"/>
    <w:rsid w:val="00E07460"/>
    <w:rsid w:val="00E13336"/>
    <w:rsid w:val="00E1543D"/>
    <w:rsid w:val="00E15575"/>
    <w:rsid w:val="00E17D6E"/>
    <w:rsid w:val="00E231C8"/>
    <w:rsid w:val="00E2715F"/>
    <w:rsid w:val="00E30408"/>
    <w:rsid w:val="00E30F49"/>
    <w:rsid w:val="00E32163"/>
    <w:rsid w:val="00E33686"/>
    <w:rsid w:val="00E406A4"/>
    <w:rsid w:val="00E40C87"/>
    <w:rsid w:val="00E41745"/>
    <w:rsid w:val="00E423DE"/>
    <w:rsid w:val="00E43A93"/>
    <w:rsid w:val="00E4529F"/>
    <w:rsid w:val="00E45421"/>
    <w:rsid w:val="00E46FCF"/>
    <w:rsid w:val="00E50F02"/>
    <w:rsid w:val="00E51E2D"/>
    <w:rsid w:val="00E54165"/>
    <w:rsid w:val="00E55F2C"/>
    <w:rsid w:val="00E6090D"/>
    <w:rsid w:val="00E6340B"/>
    <w:rsid w:val="00E72AFD"/>
    <w:rsid w:val="00E74A2A"/>
    <w:rsid w:val="00E82996"/>
    <w:rsid w:val="00E844E6"/>
    <w:rsid w:val="00E85E8C"/>
    <w:rsid w:val="00E90BCB"/>
    <w:rsid w:val="00E961FF"/>
    <w:rsid w:val="00EA13C6"/>
    <w:rsid w:val="00EA3DAE"/>
    <w:rsid w:val="00EA4120"/>
    <w:rsid w:val="00EA67AD"/>
    <w:rsid w:val="00EC0983"/>
    <w:rsid w:val="00EC1743"/>
    <w:rsid w:val="00EC3232"/>
    <w:rsid w:val="00EC32CC"/>
    <w:rsid w:val="00EC4F46"/>
    <w:rsid w:val="00ED0CDC"/>
    <w:rsid w:val="00ED347A"/>
    <w:rsid w:val="00ED3CBA"/>
    <w:rsid w:val="00ED7337"/>
    <w:rsid w:val="00ED7947"/>
    <w:rsid w:val="00EE3056"/>
    <w:rsid w:val="00EE542E"/>
    <w:rsid w:val="00EF3A05"/>
    <w:rsid w:val="00EF62F7"/>
    <w:rsid w:val="00EF7C2E"/>
    <w:rsid w:val="00F02878"/>
    <w:rsid w:val="00F068A0"/>
    <w:rsid w:val="00F07F6E"/>
    <w:rsid w:val="00F1438A"/>
    <w:rsid w:val="00F166E5"/>
    <w:rsid w:val="00F22CB1"/>
    <w:rsid w:val="00F22D49"/>
    <w:rsid w:val="00F23C66"/>
    <w:rsid w:val="00F257E2"/>
    <w:rsid w:val="00F43E22"/>
    <w:rsid w:val="00F45628"/>
    <w:rsid w:val="00F463BF"/>
    <w:rsid w:val="00F50058"/>
    <w:rsid w:val="00F5247C"/>
    <w:rsid w:val="00F53A10"/>
    <w:rsid w:val="00F65D5A"/>
    <w:rsid w:val="00F720AE"/>
    <w:rsid w:val="00F763B6"/>
    <w:rsid w:val="00F77848"/>
    <w:rsid w:val="00F814C0"/>
    <w:rsid w:val="00F81AA4"/>
    <w:rsid w:val="00F81C64"/>
    <w:rsid w:val="00F83C9F"/>
    <w:rsid w:val="00F878A6"/>
    <w:rsid w:val="00F93642"/>
    <w:rsid w:val="00F97E1C"/>
    <w:rsid w:val="00FA591A"/>
    <w:rsid w:val="00FA7369"/>
    <w:rsid w:val="00FB2810"/>
    <w:rsid w:val="00FB689A"/>
    <w:rsid w:val="00FB6C7E"/>
    <w:rsid w:val="00FB6D85"/>
    <w:rsid w:val="00FC2BA0"/>
    <w:rsid w:val="00FC3C72"/>
    <w:rsid w:val="00FC4E17"/>
    <w:rsid w:val="00FD48CA"/>
    <w:rsid w:val="00FE2B92"/>
    <w:rsid w:val="00FE6F94"/>
    <w:rsid w:val="00FF075D"/>
    <w:rsid w:val="00FF11EF"/>
    <w:rsid w:val="00FF5ECC"/>
    <w:rsid w:val="00FF7FA4"/>
    <w:rsid w:val="02547016"/>
    <w:rsid w:val="04125247"/>
    <w:rsid w:val="0831153E"/>
    <w:rsid w:val="0B5E3DC0"/>
    <w:rsid w:val="0BDED0FB"/>
    <w:rsid w:val="0CD688E3"/>
    <w:rsid w:val="0DDA50A3"/>
    <w:rsid w:val="0F75ACF0"/>
    <w:rsid w:val="169D880F"/>
    <w:rsid w:val="183813F4"/>
    <w:rsid w:val="18B948A0"/>
    <w:rsid w:val="190F4BB2"/>
    <w:rsid w:val="19C27ACA"/>
    <w:rsid w:val="23E2D7A6"/>
    <w:rsid w:val="247E1845"/>
    <w:rsid w:val="265B29C8"/>
    <w:rsid w:val="27D326D7"/>
    <w:rsid w:val="28B8B739"/>
    <w:rsid w:val="2960110C"/>
    <w:rsid w:val="2A596E3D"/>
    <w:rsid w:val="2F8CD3C9"/>
    <w:rsid w:val="2F8F95B1"/>
    <w:rsid w:val="31B6E36A"/>
    <w:rsid w:val="3502A0E5"/>
    <w:rsid w:val="37A97CAF"/>
    <w:rsid w:val="38FF94B1"/>
    <w:rsid w:val="3BA12F83"/>
    <w:rsid w:val="40CA664F"/>
    <w:rsid w:val="43983877"/>
    <w:rsid w:val="49387FFE"/>
    <w:rsid w:val="49827755"/>
    <w:rsid w:val="51A17585"/>
    <w:rsid w:val="524563C3"/>
    <w:rsid w:val="53C1FBFC"/>
    <w:rsid w:val="54C9DC8A"/>
    <w:rsid w:val="570496A1"/>
    <w:rsid w:val="57498CF1"/>
    <w:rsid w:val="5983A1A2"/>
    <w:rsid w:val="59B55BDA"/>
    <w:rsid w:val="59DFB4E3"/>
    <w:rsid w:val="5A1BA329"/>
    <w:rsid w:val="5BE932EB"/>
    <w:rsid w:val="5C46979E"/>
    <w:rsid w:val="60D79D6B"/>
    <w:rsid w:val="6395BD1C"/>
    <w:rsid w:val="66B29B6F"/>
    <w:rsid w:val="6A43ECD6"/>
    <w:rsid w:val="6A5E8CF0"/>
    <w:rsid w:val="6CC72597"/>
    <w:rsid w:val="6E36AB13"/>
    <w:rsid w:val="6FCF8FD7"/>
    <w:rsid w:val="72F843F2"/>
    <w:rsid w:val="73B0F5BA"/>
    <w:rsid w:val="76A6456E"/>
    <w:rsid w:val="79CD2530"/>
    <w:rsid w:val="7D19221B"/>
    <w:rsid w:val="7E62AA34"/>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2CC1E7"/>
  <w15:docId w15:val="{144E05F0-DC5D-1E47-8F19-87DE8BC6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76D70"/>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0E1F"/>
    <w:pPr>
      <w:tabs>
        <w:tab w:val="center" w:pos="4320"/>
        <w:tab w:val="right" w:pos="8640"/>
      </w:tabs>
    </w:pPr>
    <w:rPr>
      <w:b/>
      <w:color w:val="8B034F"/>
      <w:sz w:val="36"/>
    </w:rPr>
  </w:style>
  <w:style w:type="paragraph" w:styleId="Footer">
    <w:name w:val="footer"/>
    <w:basedOn w:val="Normal"/>
    <w:link w:val="FooterChar"/>
    <w:uiPriority w:val="99"/>
    <w:rsid w:val="00D20E1F"/>
    <w:pPr>
      <w:tabs>
        <w:tab w:val="center" w:pos="4320"/>
        <w:tab w:val="right" w:pos="8640"/>
      </w:tabs>
    </w:pPr>
  </w:style>
  <w:style w:type="paragraph" w:customStyle="1" w:styleId="DetailsHeading">
    <w:name w:val="Details Heading"/>
    <w:basedOn w:val="Normal"/>
    <w:rsid w:val="00D20E1F"/>
    <w:pPr>
      <w:tabs>
        <w:tab w:val="left" w:pos="1540"/>
        <w:tab w:val="left" w:pos="3100"/>
        <w:tab w:val="left" w:pos="4082"/>
        <w:tab w:val="left" w:pos="6123"/>
      </w:tabs>
      <w:suppressAutoHyphens/>
      <w:autoSpaceDE w:val="0"/>
      <w:autoSpaceDN w:val="0"/>
      <w:adjustRightInd w:val="0"/>
      <w:spacing w:line="288" w:lineRule="auto"/>
      <w:textAlignment w:val="center"/>
    </w:pPr>
    <w:rPr>
      <w:rFonts w:cs="Arial"/>
      <w:b/>
      <w:bCs/>
      <w:color w:val="000000"/>
      <w:sz w:val="16"/>
      <w:szCs w:val="16"/>
    </w:rPr>
  </w:style>
  <w:style w:type="paragraph" w:customStyle="1" w:styleId="Details">
    <w:name w:val="Details"/>
    <w:basedOn w:val="Normal"/>
    <w:rsid w:val="00D20E1F"/>
    <w:pPr>
      <w:tabs>
        <w:tab w:val="left" w:pos="1540"/>
        <w:tab w:val="left" w:pos="3100"/>
        <w:tab w:val="left" w:pos="4082"/>
        <w:tab w:val="left" w:pos="6123"/>
      </w:tabs>
      <w:suppressAutoHyphens/>
      <w:autoSpaceDE w:val="0"/>
      <w:autoSpaceDN w:val="0"/>
      <w:adjustRightInd w:val="0"/>
      <w:spacing w:after="198" w:line="288" w:lineRule="auto"/>
      <w:textAlignment w:val="center"/>
    </w:pPr>
    <w:rPr>
      <w:rFonts w:cs="Arial"/>
      <w:color w:val="000000"/>
      <w:sz w:val="16"/>
      <w:szCs w:val="16"/>
    </w:rPr>
  </w:style>
  <w:style w:type="paragraph" w:customStyle="1" w:styleId="Address">
    <w:name w:val="Address"/>
    <w:basedOn w:val="Normal"/>
    <w:rsid w:val="00CF2BF6"/>
    <w:pPr>
      <w:tabs>
        <w:tab w:val="left" w:pos="2041"/>
        <w:tab w:val="left" w:pos="4082"/>
        <w:tab w:val="left" w:pos="6123"/>
      </w:tabs>
      <w:suppressAutoHyphens/>
      <w:autoSpaceDE w:val="0"/>
      <w:autoSpaceDN w:val="0"/>
      <w:adjustRightInd w:val="0"/>
      <w:spacing w:after="100" w:line="200" w:lineRule="atLeast"/>
      <w:textAlignment w:val="center"/>
    </w:pPr>
    <w:rPr>
      <w:rFonts w:cs="Helvetica 55 Roman"/>
      <w:b/>
      <w:bCs/>
      <w:color w:val="000000"/>
      <w:sz w:val="16"/>
      <w:szCs w:val="16"/>
    </w:rPr>
  </w:style>
  <w:style w:type="paragraph" w:customStyle="1" w:styleId="MainTitle">
    <w:name w:val="Main Title"/>
    <w:basedOn w:val="Normal"/>
    <w:rsid w:val="006B5EA9"/>
    <w:pPr>
      <w:tabs>
        <w:tab w:val="left" w:pos="1543"/>
        <w:tab w:val="left" w:pos="3105"/>
        <w:tab w:val="left" w:pos="4089"/>
        <w:tab w:val="left" w:pos="6133"/>
      </w:tabs>
      <w:suppressAutoHyphens/>
      <w:autoSpaceDE w:val="0"/>
      <w:autoSpaceDN w:val="0"/>
      <w:adjustRightInd w:val="0"/>
      <w:spacing w:after="240"/>
      <w:textAlignment w:val="center"/>
    </w:pPr>
    <w:rPr>
      <w:rFonts w:cs="Arial"/>
      <w:b/>
      <w:bCs/>
      <w:color w:val="000000"/>
      <w:sz w:val="28"/>
      <w:szCs w:val="28"/>
    </w:rPr>
  </w:style>
  <w:style w:type="paragraph" w:customStyle="1" w:styleId="EmbargoText">
    <w:name w:val="Embargo Text"/>
    <w:basedOn w:val="Normal"/>
    <w:rsid w:val="00B76D70"/>
    <w:pPr>
      <w:tabs>
        <w:tab w:val="left" w:pos="1543"/>
        <w:tab w:val="left" w:pos="3105"/>
        <w:tab w:val="left" w:pos="4089"/>
        <w:tab w:val="left" w:pos="6133"/>
      </w:tabs>
      <w:suppressAutoHyphens/>
      <w:autoSpaceDE w:val="0"/>
      <w:autoSpaceDN w:val="0"/>
      <w:adjustRightInd w:val="0"/>
      <w:spacing w:after="510" w:line="288" w:lineRule="auto"/>
      <w:textAlignment w:val="center"/>
    </w:pPr>
    <w:rPr>
      <w:rFonts w:cs="Arial"/>
      <w:color w:val="000000"/>
      <w:szCs w:val="22"/>
    </w:rPr>
  </w:style>
  <w:style w:type="paragraph" w:customStyle="1" w:styleId="Bodytext">
    <w:name w:val="Bodytext"/>
    <w:basedOn w:val="Normal"/>
    <w:uiPriority w:val="99"/>
    <w:rsid w:val="003931CF"/>
    <w:pPr>
      <w:tabs>
        <w:tab w:val="left" w:pos="3105"/>
        <w:tab w:val="left" w:pos="4089"/>
        <w:tab w:val="left" w:pos="6133"/>
      </w:tabs>
      <w:suppressAutoHyphens/>
      <w:autoSpaceDE w:val="0"/>
      <w:autoSpaceDN w:val="0"/>
      <w:adjustRightInd w:val="0"/>
      <w:textAlignment w:val="center"/>
    </w:pPr>
    <w:rPr>
      <w:rFonts w:cs="Arial"/>
      <w:color w:val="000000"/>
      <w:szCs w:val="22"/>
    </w:rPr>
  </w:style>
  <w:style w:type="paragraph" w:customStyle="1" w:styleId="Ends">
    <w:name w:val="Ends"/>
    <w:basedOn w:val="Normal"/>
    <w:rsid w:val="00B76D70"/>
    <w:pPr>
      <w:tabs>
        <w:tab w:val="left" w:pos="1543"/>
        <w:tab w:val="left" w:pos="3105"/>
        <w:tab w:val="left" w:pos="4089"/>
        <w:tab w:val="left" w:pos="6133"/>
      </w:tabs>
      <w:suppressAutoHyphens/>
      <w:autoSpaceDE w:val="0"/>
      <w:autoSpaceDN w:val="0"/>
      <w:adjustRightInd w:val="0"/>
      <w:spacing w:after="510" w:line="288" w:lineRule="auto"/>
      <w:textAlignment w:val="center"/>
    </w:pPr>
    <w:rPr>
      <w:rFonts w:cs="Arial"/>
      <w:b/>
      <w:bCs/>
      <w:color w:val="000000"/>
      <w:szCs w:val="22"/>
    </w:rPr>
  </w:style>
  <w:style w:type="paragraph" w:customStyle="1" w:styleId="Boldbodytext">
    <w:name w:val="Bold body text"/>
    <w:basedOn w:val="Normal"/>
    <w:rsid w:val="00B76D70"/>
    <w:pPr>
      <w:tabs>
        <w:tab w:val="left" w:pos="1543"/>
        <w:tab w:val="left" w:pos="3105"/>
        <w:tab w:val="left" w:pos="4089"/>
        <w:tab w:val="left" w:pos="6133"/>
      </w:tabs>
      <w:suppressAutoHyphens/>
      <w:autoSpaceDE w:val="0"/>
      <w:autoSpaceDN w:val="0"/>
      <w:adjustRightInd w:val="0"/>
      <w:spacing w:line="288" w:lineRule="auto"/>
      <w:textAlignment w:val="center"/>
    </w:pPr>
    <w:rPr>
      <w:rFonts w:cs="Arial"/>
      <w:b/>
      <w:bCs/>
      <w:color w:val="000000"/>
      <w:szCs w:val="22"/>
    </w:rPr>
  </w:style>
  <w:style w:type="paragraph" w:customStyle="1" w:styleId="InfoSubheadings">
    <w:name w:val="Info Subheadings"/>
    <w:basedOn w:val="Normal"/>
    <w:rsid w:val="00B76D70"/>
    <w:pPr>
      <w:tabs>
        <w:tab w:val="left" w:pos="1543"/>
        <w:tab w:val="left" w:pos="3105"/>
        <w:tab w:val="left" w:pos="4089"/>
        <w:tab w:val="left" w:pos="6133"/>
      </w:tabs>
      <w:suppressAutoHyphens/>
      <w:autoSpaceDE w:val="0"/>
      <w:autoSpaceDN w:val="0"/>
      <w:adjustRightInd w:val="0"/>
      <w:spacing w:line="288" w:lineRule="auto"/>
      <w:textAlignment w:val="center"/>
    </w:pPr>
    <w:rPr>
      <w:rFonts w:cs="Arial"/>
      <w:b/>
      <w:bCs/>
      <w:color w:val="000000"/>
      <w:szCs w:val="22"/>
    </w:rPr>
  </w:style>
  <w:style w:type="paragraph" w:customStyle="1" w:styleId="InfoBodytext">
    <w:name w:val="Info Bodytext"/>
    <w:basedOn w:val="Normal"/>
    <w:rsid w:val="00B76D70"/>
    <w:pPr>
      <w:tabs>
        <w:tab w:val="left" w:pos="1543"/>
        <w:tab w:val="left" w:pos="3105"/>
        <w:tab w:val="left" w:pos="4089"/>
        <w:tab w:val="left" w:pos="6133"/>
      </w:tabs>
      <w:suppressAutoHyphens/>
      <w:autoSpaceDE w:val="0"/>
      <w:autoSpaceDN w:val="0"/>
      <w:adjustRightInd w:val="0"/>
      <w:spacing w:after="170" w:line="288" w:lineRule="auto"/>
      <w:textAlignment w:val="center"/>
    </w:pPr>
    <w:rPr>
      <w:rFonts w:cs="Arial"/>
      <w:color w:val="000000"/>
      <w:szCs w:val="22"/>
    </w:rPr>
  </w:style>
  <w:style w:type="paragraph" w:customStyle="1" w:styleId="InfoTabbedText">
    <w:name w:val="Info Tabbed Text"/>
    <w:basedOn w:val="InfoBodytext"/>
    <w:rsid w:val="00B76D70"/>
    <w:pPr>
      <w:tabs>
        <w:tab w:val="clear" w:pos="1543"/>
        <w:tab w:val="clear" w:pos="3105"/>
        <w:tab w:val="clear" w:pos="4089"/>
        <w:tab w:val="clear" w:pos="6133"/>
        <w:tab w:val="left" w:pos="3175"/>
      </w:tabs>
    </w:pPr>
  </w:style>
  <w:style w:type="character" w:styleId="Hyperlink">
    <w:name w:val="Hyperlink"/>
    <w:basedOn w:val="DefaultParagraphFont"/>
    <w:rsid w:val="00B76D70"/>
    <w:rPr>
      <w:color w:val="0000FF"/>
      <w:u w:val="single"/>
    </w:rPr>
  </w:style>
  <w:style w:type="paragraph" w:customStyle="1" w:styleId="InfoHeadings">
    <w:name w:val="Info Headings"/>
    <w:basedOn w:val="Normal"/>
    <w:rsid w:val="00B76D70"/>
    <w:pPr>
      <w:tabs>
        <w:tab w:val="left" w:pos="1543"/>
        <w:tab w:val="left" w:pos="3105"/>
        <w:tab w:val="left" w:pos="4089"/>
        <w:tab w:val="left" w:pos="6133"/>
      </w:tabs>
      <w:suppressAutoHyphens/>
      <w:autoSpaceDE w:val="0"/>
      <w:autoSpaceDN w:val="0"/>
      <w:adjustRightInd w:val="0"/>
      <w:spacing w:after="170" w:line="288" w:lineRule="auto"/>
      <w:textAlignment w:val="center"/>
    </w:pPr>
    <w:rPr>
      <w:rFonts w:cs="Arial"/>
      <w:b/>
      <w:bCs/>
      <w:color w:val="000000"/>
      <w:szCs w:val="22"/>
    </w:rPr>
  </w:style>
  <w:style w:type="table" w:styleId="TableGrid">
    <w:name w:val="Table Grid"/>
    <w:basedOn w:val="TableNormal"/>
    <w:uiPriority w:val="59"/>
    <w:rsid w:val="00CD3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D3104"/>
  </w:style>
  <w:style w:type="paragraph" w:customStyle="1" w:styleId="RegisteredAddress">
    <w:name w:val="Registered Address"/>
    <w:basedOn w:val="Normal"/>
    <w:rsid w:val="00CF2BF6"/>
    <w:pPr>
      <w:tabs>
        <w:tab w:val="left" w:pos="170"/>
      </w:tabs>
      <w:suppressAutoHyphens/>
      <w:autoSpaceDE w:val="0"/>
      <w:autoSpaceDN w:val="0"/>
      <w:adjustRightInd w:val="0"/>
      <w:spacing w:after="80" w:line="175" w:lineRule="atLeast"/>
      <w:textAlignment w:val="center"/>
    </w:pPr>
    <w:rPr>
      <w:rFonts w:cs="Helvetica 55 Roman"/>
      <w:color w:val="000000"/>
      <w:sz w:val="14"/>
      <w:szCs w:val="14"/>
    </w:rPr>
  </w:style>
  <w:style w:type="paragraph" w:customStyle="1" w:styleId="FooterSmall">
    <w:name w:val="FooterSmall"/>
    <w:basedOn w:val="Normal"/>
    <w:rsid w:val="00855476"/>
    <w:pPr>
      <w:spacing w:line="190" w:lineRule="exact"/>
    </w:pPr>
    <w:rPr>
      <w:rFonts w:eastAsia="Calibri" w:cs="Arial"/>
      <w:sz w:val="14"/>
      <w:szCs w:val="14"/>
      <w:lang w:eastAsia="en-GB"/>
    </w:rPr>
  </w:style>
  <w:style w:type="paragraph" w:customStyle="1" w:styleId="Body1">
    <w:name w:val="Body 1"/>
    <w:rsid w:val="0053799C"/>
    <w:pPr>
      <w:outlineLvl w:val="0"/>
    </w:pPr>
    <w:rPr>
      <w:rFonts w:ascii="Arial" w:eastAsia="Arial Unicode MS" w:hAnsi="Arial"/>
      <w:color w:val="000000"/>
      <w:sz w:val="22"/>
      <w:u w:color="000000"/>
      <w:lang w:val="en-US" w:eastAsia="en-US"/>
    </w:rPr>
  </w:style>
  <w:style w:type="paragraph" w:styleId="NormalWeb">
    <w:name w:val="Normal (Web)"/>
    <w:basedOn w:val="Normal"/>
    <w:uiPriority w:val="99"/>
    <w:unhideWhenUsed/>
    <w:rsid w:val="0053799C"/>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53799C"/>
    <w:rPr>
      <w:b/>
      <w:bCs/>
      <w:i/>
      <w:iCs/>
      <w:spacing w:val="10"/>
      <w:bdr w:val="none" w:sz="0" w:space="0" w:color="auto" w:frame="1"/>
    </w:rPr>
  </w:style>
  <w:style w:type="paragraph" w:customStyle="1" w:styleId="Default">
    <w:name w:val="Default"/>
    <w:rsid w:val="00870733"/>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957DB8"/>
    <w:pPr>
      <w:ind w:left="720"/>
    </w:pPr>
    <w:rPr>
      <w:rFonts w:ascii="Calibri" w:eastAsiaTheme="minorHAnsi" w:hAnsi="Calibri"/>
      <w:szCs w:val="22"/>
      <w:lang w:eastAsia="en-GB"/>
    </w:rPr>
  </w:style>
  <w:style w:type="paragraph" w:styleId="Subtitle">
    <w:name w:val="Subtitle"/>
    <w:basedOn w:val="Normal"/>
    <w:link w:val="SubtitleChar"/>
    <w:uiPriority w:val="11"/>
    <w:qFormat/>
    <w:rsid w:val="00654E96"/>
    <w:pPr>
      <w:tabs>
        <w:tab w:val="left" w:pos="2552"/>
      </w:tabs>
      <w:spacing w:line="360" w:lineRule="auto"/>
    </w:pPr>
    <w:rPr>
      <w:rFonts w:ascii="Verdana" w:hAnsi="Verdana"/>
      <w:b/>
      <w:sz w:val="24"/>
      <w:szCs w:val="28"/>
    </w:rPr>
  </w:style>
  <w:style w:type="character" w:customStyle="1" w:styleId="SubtitleChar">
    <w:name w:val="Subtitle Char"/>
    <w:basedOn w:val="DefaultParagraphFont"/>
    <w:link w:val="Subtitle"/>
    <w:uiPriority w:val="11"/>
    <w:rsid w:val="00654E96"/>
    <w:rPr>
      <w:rFonts w:ascii="Verdana" w:hAnsi="Verdana"/>
      <w:b/>
      <w:sz w:val="24"/>
      <w:szCs w:val="28"/>
      <w:lang w:eastAsia="en-US"/>
    </w:rPr>
  </w:style>
  <w:style w:type="paragraph" w:customStyle="1" w:styleId="bq">
    <w:name w:val="bq"/>
    <w:basedOn w:val="Normal"/>
    <w:rsid w:val="005109A5"/>
    <w:pPr>
      <w:spacing w:before="100" w:beforeAutospacing="1" w:after="100" w:afterAutospacing="1"/>
    </w:pPr>
    <w:rPr>
      <w:rFonts w:ascii="Times New Roman" w:hAnsi="Times New Roman"/>
      <w:sz w:val="24"/>
      <w:lang w:eastAsia="en-GB"/>
    </w:rPr>
  </w:style>
  <w:style w:type="character" w:customStyle="1" w:styleId="bf">
    <w:name w:val="bf"/>
    <w:basedOn w:val="DefaultParagraphFont"/>
    <w:rsid w:val="005109A5"/>
  </w:style>
  <w:style w:type="paragraph" w:styleId="NoSpacing">
    <w:name w:val="No Spacing"/>
    <w:uiPriority w:val="1"/>
    <w:qFormat/>
    <w:rsid w:val="00C77990"/>
    <w:rPr>
      <w:rFonts w:asciiTheme="minorHAnsi" w:eastAsiaTheme="minorHAnsi" w:hAnsiTheme="minorHAnsi" w:cstheme="minorBidi"/>
      <w:sz w:val="22"/>
      <w:szCs w:val="22"/>
      <w:lang w:eastAsia="en-US"/>
    </w:rPr>
  </w:style>
  <w:style w:type="table" w:customStyle="1" w:styleId="TableGrid2">
    <w:name w:val="Table Grid2"/>
    <w:basedOn w:val="TableNormal"/>
    <w:next w:val="TableGrid"/>
    <w:uiPriority w:val="59"/>
    <w:rsid w:val="00EC3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FF7FA4"/>
    <w:rPr>
      <w:rFonts w:ascii="Arial" w:hAnsi="Arial"/>
      <w:b/>
      <w:color w:val="8B034F"/>
      <w:sz w:val="36"/>
      <w:szCs w:val="24"/>
      <w:lang w:val="en-US" w:eastAsia="en-US"/>
    </w:rPr>
  </w:style>
  <w:style w:type="character" w:styleId="Strong">
    <w:name w:val="Strong"/>
    <w:basedOn w:val="DefaultParagraphFont"/>
    <w:uiPriority w:val="22"/>
    <w:qFormat/>
    <w:rsid w:val="00523117"/>
    <w:rPr>
      <w:b/>
      <w:bCs/>
    </w:rPr>
  </w:style>
  <w:style w:type="paragraph" w:styleId="PlainText">
    <w:name w:val="Plain Text"/>
    <w:basedOn w:val="Normal"/>
    <w:link w:val="PlainTextChar"/>
    <w:uiPriority w:val="99"/>
    <w:semiHidden/>
    <w:unhideWhenUsed/>
    <w:rsid w:val="00C66E1A"/>
    <w:rPr>
      <w:rFonts w:ascii="Calibri" w:eastAsiaTheme="minorEastAsia" w:hAnsi="Calibri" w:cs="Consolas"/>
      <w:szCs w:val="21"/>
      <w:lang w:eastAsia="en-GB"/>
    </w:rPr>
  </w:style>
  <w:style w:type="character" w:customStyle="1" w:styleId="PlainTextChar">
    <w:name w:val="Plain Text Char"/>
    <w:basedOn w:val="DefaultParagraphFont"/>
    <w:link w:val="PlainText"/>
    <w:uiPriority w:val="99"/>
    <w:semiHidden/>
    <w:rsid w:val="00C66E1A"/>
    <w:rPr>
      <w:rFonts w:ascii="Calibri" w:eastAsiaTheme="minorEastAsia" w:hAnsi="Calibri" w:cs="Consolas"/>
      <w:sz w:val="22"/>
      <w:szCs w:val="21"/>
    </w:rPr>
  </w:style>
  <w:style w:type="table" w:customStyle="1" w:styleId="TableGrid1">
    <w:name w:val="Table Grid1"/>
    <w:basedOn w:val="TableNormal"/>
    <w:next w:val="TableGrid"/>
    <w:uiPriority w:val="59"/>
    <w:rsid w:val="00D02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C4633"/>
    <w:rPr>
      <w:rFonts w:ascii="Segoe UI" w:hAnsi="Segoe UI" w:cs="Segoe UI"/>
      <w:sz w:val="18"/>
      <w:szCs w:val="18"/>
    </w:rPr>
  </w:style>
  <w:style w:type="character" w:customStyle="1" w:styleId="BalloonTextChar">
    <w:name w:val="Balloon Text Char"/>
    <w:basedOn w:val="DefaultParagraphFont"/>
    <w:link w:val="BalloonText"/>
    <w:semiHidden/>
    <w:rsid w:val="006C4633"/>
    <w:rPr>
      <w:rFonts w:ascii="Segoe UI" w:hAnsi="Segoe UI" w:cs="Segoe UI"/>
      <w:sz w:val="18"/>
      <w:szCs w:val="18"/>
      <w:lang w:val="en-US" w:eastAsia="en-US"/>
    </w:rPr>
  </w:style>
  <w:style w:type="paragraph" w:styleId="Revision">
    <w:name w:val="Revision"/>
    <w:hidden/>
    <w:uiPriority w:val="71"/>
    <w:semiHidden/>
    <w:rsid w:val="008C55D4"/>
    <w:rPr>
      <w:rFonts w:ascii="Arial" w:hAnsi="Arial"/>
      <w:sz w:val="22"/>
      <w:szCs w:val="24"/>
      <w:lang w:val="en-US" w:eastAsia="en-US"/>
    </w:rPr>
  </w:style>
  <w:style w:type="table" w:customStyle="1" w:styleId="TableGrid5">
    <w:name w:val="Table Grid5"/>
    <w:basedOn w:val="TableNormal"/>
    <w:next w:val="TableGrid"/>
    <w:uiPriority w:val="59"/>
    <w:rsid w:val="00591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rsid w:val="00D92F63"/>
    <w:rPr>
      <w:color w:val="605E5C"/>
      <w:shd w:val="clear" w:color="auto" w:fill="E1DFDD"/>
    </w:rPr>
  </w:style>
  <w:style w:type="character" w:customStyle="1" w:styleId="normaltextrun">
    <w:name w:val="normaltextrun"/>
    <w:basedOn w:val="DefaultParagraphFont"/>
    <w:rsid w:val="0058717D"/>
  </w:style>
  <w:style w:type="character" w:styleId="CommentReference">
    <w:name w:val="annotation reference"/>
    <w:basedOn w:val="DefaultParagraphFont"/>
    <w:unhideWhenUsed/>
    <w:rsid w:val="00C412B6"/>
    <w:rPr>
      <w:sz w:val="16"/>
      <w:szCs w:val="16"/>
    </w:rPr>
  </w:style>
  <w:style w:type="paragraph" w:styleId="CommentText">
    <w:name w:val="annotation text"/>
    <w:basedOn w:val="Normal"/>
    <w:link w:val="CommentTextChar"/>
    <w:unhideWhenUsed/>
    <w:rsid w:val="00C412B6"/>
    <w:rPr>
      <w:sz w:val="20"/>
      <w:szCs w:val="20"/>
    </w:rPr>
  </w:style>
  <w:style w:type="character" w:customStyle="1" w:styleId="CommentTextChar">
    <w:name w:val="Comment Text Char"/>
    <w:basedOn w:val="DefaultParagraphFont"/>
    <w:link w:val="CommentText"/>
    <w:rsid w:val="00C412B6"/>
    <w:rPr>
      <w:rFonts w:ascii="Arial" w:hAnsi="Arial"/>
      <w:lang w:eastAsia="en-US"/>
    </w:rPr>
  </w:style>
  <w:style w:type="paragraph" w:styleId="CommentSubject">
    <w:name w:val="annotation subject"/>
    <w:basedOn w:val="CommentText"/>
    <w:next w:val="CommentText"/>
    <w:link w:val="CommentSubjectChar"/>
    <w:semiHidden/>
    <w:unhideWhenUsed/>
    <w:rsid w:val="00C412B6"/>
    <w:rPr>
      <w:b/>
      <w:bCs/>
    </w:rPr>
  </w:style>
  <w:style w:type="character" w:customStyle="1" w:styleId="CommentSubjectChar">
    <w:name w:val="Comment Subject Char"/>
    <w:basedOn w:val="CommentTextChar"/>
    <w:link w:val="CommentSubject"/>
    <w:semiHidden/>
    <w:rsid w:val="00C412B6"/>
    <w:rPr>
      <w:rFonts w:ascii="Arial" w:hAnsi="Arial"/>
      <w:b/>
      <w:bCs/>
      <w:lang w:eastAsia="en-US"/>
    </w:rPr>
  </w:style>
  <w:style w:type="paragraph" w:styleId="EndnoteText">
    <w:name w:val="endnote text"/>
    <w:basedOn w:val="Normal"/>
    <w:link w:val="EndnoteTextChar"/>
    <w:uiPriority w:val="99"/>
    <w:unhideWhenUsed/>
    <w:rsid w:val="00477235"/>
    <w:rPr>
      <w:sz w:val="20"/>
      <w:szCs w:val="20"/>
    </w:rPr>
  </w:style>
  <w:style w:type="character" w:customStyle="1" w:styleId="EndnoteTextChar">
    <w:name w:val="Endnote Text Char"/>
    <w:basedOn w:val="DefaultParagraphFont"/>
    <w:link w:val="EndnoteText"/>
    <w:uiPriority w:val="99"/>
    <w:rsid w:val="00477235"/>
    <w:rPr>
      <w:rFonts w:ascii="Arial" w:hAnsi="Arial"/>
      <w:lang w:eastAsia="en-US"/>
    </w:rPr>
  </w:style>
  <w:style w:type="character" w:styleId="EndnoteReference">
    <w:name w:val="endnote reference"/>
    <w:basedOn w:val="DefaultParagraphFont"/>
    <w:uiPriority w:val="99"/>
    <w:unhideWhenUsed/>
    <w:rsid w:val="00477235"/>
    <w:rPr>
      <w:vertAlign w:val="superscript"/>
    </w:rPr>
  </w:style>
  <w:style w:type="paragraph" w:customStyle="1" w:styleId="Body">
    <w:name w:val="Body"/>
    <w:link w:val="BodyChar"/>
    <w:rsid w:val="00515207"/>
    <w:pPr>
      <w:pBdr>
        <w:top w:val="nil"/>
        <w:left w:val="nil"/>
        <w:bottom w:val="nil"/>
        <w:right w:val="nil"/>
        <w:between w:val="nil"/>
        <w:bar w:val="nil"/>
      </w:pBdr>
    </w:pPr>
    <w:rPr>
      <w:color w:val="000000"/>
      <w:sz w:val="24"/>
      <w:szCs w:val="24"/>
      <w:u w:color="000000"/>
      <w:bdr w:val="nil"/>
      <w:lang w:val="en-US" w:eastAsia="en-US"/>
    </w:rPr>
  </w:style>
  <w:style w:type="character" w:customStyle="1" w:styleId="BodyChar">
    <w:name w:val="Body Char"/>
    <w:link w:val="Body"/>
    <w:locked/>
    <w:rsid w:val="00515207"/>
    <w:rPr>
      <w:color w:val="000000"/>
      <w:sz w:val="24"/>
      <w:szCs w:val="24"/>
      <w:u w:color="000000"/>
      <w:bdr w:val="nil"/>
      <w:lang w:val="en-US" w:eastAsia="en-US"/>
    </w:rPr>
  </w:style>
  <w:style w:type="paragraph" w:styleId="FootnoteText">
    <w:name w:val="footnote text"/>
    <w:basedOn w:val="Normal"/>
    <w:link w:val="FootnoteTextChar"/>
    <w:semiHidden/>
    <w:unhideWhenUsed/>
    <w:rsid w:val="008F1981"/>
    <w:rPr>
      <w:sz w:val="20"/>
      <w:szCs w:val="20"/>
    </w:rPr>
  </w:style>
  <w:style w:type="character" w:customStyle="1" w:styleId="FootnoteTextChar">
    <w:name w:val="Footnote Text Char"/>
    <w:basedOn w:val="DefaultParagraphFont"/>
    <w:link w:val="FootnoteText"/>
    <w:semiHidden/>
    <w:rsid w:val="008F1981"/>
    <w:rPr>
      <w:rFonts w:ascii="Arial" w:hAnsi="Arial"/>
      <w:lang w:eastAsia="en-US"/>
    </w:rPr>
  </w:style>
  <w:style w:type="character" w:styleId="FootnoteReference">
    <w:name w:val="footnote reference"/>
    <w:basedOn w:val="DefaultParagraphFont"/>
    <w:semiHidden/>
    <w:unhideWhenUsed/>
    <w:rsid w:val="008F1981"/>
    <w:rPr>
      <w:vertAlign w:val="superscript"/>
    </w:rPr>
  </w:style>
  <w:style w:type="character" w:customStyle="1" w:styleId="FooterChar">
    <w:name w:val="Footer Char"/>
    <w:basedOn w:val="DefaultParagraphFont"/>
    <w:link w:val="Footer"/>
    <w:uiPriority w:val="99"/>
    <w:rsid w:val="00741F4C"/>
    <w:rPr>
      <w:rFonts w:ascii="Arial" w:hAnsi="Arial"/>
      <w:sz w:val="22"/>
      <w:szCs w:val="24"/>
      <w:lang w:eastAsia="en-US"/>
    </w:rPr>
  </w:style>
  <w:style w:type="character" w:customStyle="1" w:styleId="apple-converted-space">
    <w:name w:val="apple-converted-space"/>
    <w:basedOn w:val="DefaultParagraphFont"/>
    <w:rsid w:val="0097720F"/>
  </w:style>
  <w:style w:type="character" w:styleId="FollowedHyperlink">
    <w:name w:val="FollowedHyperlink"/>
    <w:basedOn w:val="DefaultParagraphFont"/>
    <w:semiHidden/>
    <w:unhideWhenUsed/>
    <w:rsid w:val="00ED73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3124">
      <w:bodyDiv w:val="1"/>
      <w:marLeft w:val="0"/>
      <w:marRight w:val="0"/>
      <w:marTop w:val="0"/>
      <w:marBottom w:val="0"/>
      <w:divBdr>
        <w:top w:val="none" w:sz="0" w:space="0" w:color="auto"/>
        <w:left w:val="none" w:sz="0" w:space="0" w:color="auto"/>
        <w:bottom w:val="none" w:sz="0" w:space="0" w:color="auto"/>
        <w:right w:val="none" w:sz="0" w:space="0" w:color="auto"/>
      </w:divBdr>
    </w:div>
    <w:div w:id="512231862">
      <w:bodyDiv w:val="1"/>
      <w:marLeft w:val="0"/>
      <w:marRight w:val="0"/>
      <w:marTop w:val="0"/>
      <w:marBottom w:val="0"/>
      <w:divBdr>
        <w:top w:val="none" w:sz="0" w:space="0" w:color="auto"/>
        <w:left w:val="none" w:sz="0" w:space="0" w:color="auto"/>
        <w:bottom w:val="none" w:sz="0" w:space="0" w:color="auto"/>
        <w:right w:val="none" w:sz="0" w:space="0" w:color="auto"/>
      </w:divBdr>
    </w:div>
    <w:div w:id="550387404">
      <w:bodyDiv w:val="1"/>
      <w:marLeft w:val="0"/>
      <w:marRight w:val="0"/>
      <w:marTop w:val="0"/>
      <w:marBottom w:val="0"/>
      <w:divBdr>
        <w:top w:val="none" w:sz="0" w:space="0" w:color="auto"/>
        <w:left w:val="none" w:sz="0" w:space="0" w:color="auto"/>
        <w:bottom w:val="none" w:sz="0" w:space="0" w:color="auto"/>
        <w:right w:val="none" w:sz="0" w:space="0" w:color="auto"/>
      </w:divBdr>
    </w:div>
    <w:div w:id="572007842">
      <w:bodyDiv w:val="1"/>
      <w:marLeft w:val="0"/>
      <w:marRight w:val="0"/>
      <w:marTop w:val="0"/>
      <w:marBottom w:val="0"/>
      <w:divBdr>
        <w:top w:val="none" w:sz="0" w:space="0" w:color="auto"/>
        <w:left w:val="none" w:sz="0" w:space="0" w:color="auto"/>
        <w:bottom w:val="none" w:sz="0" w:space="0" w:color="auto"/>
        <w:right w:val="none" w:sz="0" w:space="0" w:color="auto"/>
      </w:divBdr>
    </w:div>
    <w:div w:id="596794414">
      <w:bodyDiv w:val="1"/>
      <w:marLeft w:val="0"/>
      <w:marRight w:val="0"/>
      <w:marTop w:val="0"/>
      <w:marBottom w:val="0"/>
      <w:divBdr>
        <w:top w:val="none" w:sz="0" w:space="0" w:color="auto"/>
        <w:left w:val="none" w:sz="0" w:space="0" w:color="auto"/>
        <w:bottom w:val="none" w:sz="0" w:space="0" w:color="auto"/>
        <w:right w:val="none" w:sz="0" w:space="0" w:color="auto"/>
      </w:divBdr>
    </w:div>
    <w:div w:id="1084299470">
      <w:bodyDiv w:val="1"/>
      <w:marLeft w:val="0"/>
      <w:marRight w:val="0"/>
      <w:marTop w:val="0"/>
      <w:marBottom w:val="0"/>
      <w:divBdr>
        <w:top w:val="none" w:sz="0" w:space="0" w:color="auto"/>
        <w:left w:val="none" w:sz="0" w:space="0" w:color="auto"/>
        <w:bottom w:val="none" w:sz="0" w:space="0" w:color="auto"/>
        <w:right w:val="none" w:sz="0" w:space="0" w:color="auto"/>
      </w:divBdr>
    </w:div>
    <w:div w:id="1211963125">
      <w:bodyDiv w:val="1"/>
      <w:marLeft w:val="0"/>
      <w:marRight w:val="0"/>
      <w:marTop w:val="0"/>
      <w:marBottom w:val="0"/>
      <w:divBdr>
        <w:top w:val="none" w:sz="0" w:space="0" w:color="auto"/>
        <w:left w:val="none" w:sz="0" w:space="0" w:color="auto"/>
        <w:bottom w:val="none" w:sz="0" w:space="0" w:color="auto"/>
        <w:right w:val="none" w:sz="0" w:space="0" w:color="auto"/>
      </w:divBdr>
    </w:div>
    <w:div w:id="1370841430">
      <w:bodyDiv w:val="1"/>
      <w:marLeft w:val="0"/>
      <w:marRight w:val="0"/>
      <w:marTop w:val="0"/>
      <w:marBottom w:val="0"/>
      <w:divBdr>
        <w:top w:val="none" w:sz="0" w:space="0" w:color="auto"/>
        <w:left w:val="none" w:sz="0" w:space="0" w:color="auto"/>
        <w:bottom w:val="none" w:sz="0" w:space="0" w:color="auto"/>
        <w:right w:val="none" w:sz="0" w:space="0" w:color="auto"/>
      </w:divBdr>
    </w:div>
    <w:div w:id="1490169509">
      <w:bodyDiv w:val="1"/>
      <w:marLeft w:val="0"/>
      <w:marRight w:val="0"/>
      <w:marTop w:val="0"/>
      <w:marBottom w:val="0"/>
      <w:divBdr>
        <w:top w:val="none" w:sz="0" w:space="0" w:color="auto"/>
        <w:left w:val="none" w:sz="0" w:space="0" w:color="auto"/>
        <w:bottom w:val="none" w:sz="0" w:space="0" w:color="auto"/>
        <w:right w:val="none" w:sz="0" w:space="0" w:color="auto"/>
      </w:divBdr>
      <w:divsChild>
        <w:div w:id="181306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879963">
              <w:marLeft w:val="0"/>
              <w:marRight w:val="0"/>
              <w:marTop w:val="0"/>
              <w:marBottom w:val="0"/>
              <w:divBdr>
                <w:top w:val="none" w:sz="0" w:space="0" w:color="auto"/>
                <w:left w:val="none" w:sz="0" w:space="0" w:color="auto"/>
                <w:bottom w:val="none" w:sz="0" w:space="0" w:color="auto"/>
                <w:right w:val="none" w:sz="0" w:space="0" w:color="auto"/>
              </w:divBdr>
              <w:divsChild>
                <w:div w:id="1063796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82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538501">
      <w:bodyDiv w:val="1"/>
      <w:marLeft w:val="0"/>
      <w:marRight w:val="0"/>
      <w:marTop w:val="0"/>
      <w:marBottom w:val="0"/>
      <w:divBdr>
        <w:top w:val="none" w:sz="0" w:space="0" w:color="auto"/>
        <w:left w:val="none" w:sz="0" w:space="0" w:color="auto"/>
        <w:bottom w:val="none" w:sz="0" w:space="0" w:color="auto"/>
        <w:right w:val="none" w:sz="0" w:space="0" w:color="auto"/>
      </w:divBdr>
    </w:div>
    <w:div w:id="1561600573">
      <w:bodyDiv w:val="1"/>
      <w:marLeft w:val="0"/>
      <w:marRight w:val="0"/>
      <w:marTop w:val="0"/>
      <w:marBottom w:val="0"/>
      <w:divBdr>
        <w:top w:val="none" w:sz="0" w:space="0" w:color="auto"/>
        <w:left w:val="none" w:sz="0" w:space="0" w:color="auto"/>
        <w:bottom w:val="none" w:sz="0" w:space="0" w:color="auto"/>
        <w:right w:val="none" w:sz="0" w:space="0" w:color="auto"/>
      </w:divBdr>
    </w:div>
    <w:div w:id="1586721736">
      <w:bodyDiv w:val="1"/>
      <w:marLeft w:val="0"/>
      <w:marRight w:val="0"/>
      <w:marTop w:val="0"/>
      <w:marBottom w:val="0"/>
      <w:divBdr>
        <w:top w:val="none" w:sz="0" w:space="0" w:color="auto"/>
        <w:left w:val="none" w:sz="0" w:space="0" w:color="auto"/>
        <w:bottom w:val="none" w:sz="0" w:space="0" w:color="auto"/>
        <w:right w:val="none" w:sz="0" w:space="0" w:color="auto"/>
      </w:divBdr>
    </w:div>
    <w:div w:id="1618440451">
      <w:bodyDiv w:val="1"/>
      <w:marLeft w:val="0"/>
      <w:marRight w:val="0"/>
      <w:marTop w:val="0"/>
      <w:marBottom w:val="0"/>
      <w:divBdr>
        <w:top w:val="none" w:sz="0" w:space="0" w:color="auto"/>
        <w:left w:val="none" w:sz="0" w:space="0" w:color="auto"/>
        <w:bottom w:val="none" w:sz="0" w:space="0" w:color="auto"/>
        <w:right w:val="none" w:sz="0" w:space="0" w:color="auto"/>
      </w:divBdr>
    </w:div>
    <w:div w:id="1621302889">
      <w:bodyDiv w:val="1"/>
      <w:marLeft w:val="0"/>
      <w:marRight w:val="0"/>
      <w:marTop w:val="0"/>
      <w:marBottom w:val="0"/>
      <w:divBdr>
        <w:top w:val="none" w:sz="0" w:space="0" w:color="auto"/>
        <w:left w:val="none" w:sz="0" w:space="0" w:color="auto"/>
        <w:bottom w:val="none" w:sz="0" w:space="0" w:color="auto"/>
        <w:right w:val="none" w:sz="0" w:space="0" w:color="auto"/>
      </w:divBdr>
    </w:div>
    <w:div w:id="1655570742">
      <w:bodyDiv w:val="1"/>
      <w:marLeft w:val="0"/>
      <w:marRight w:val="0"/>
      <w:marTop w:val="0"/>
      <w:marBottom w:val="0"/>
      <w:divBdr>
        <w:top w:val="none" w:sz="0" w:space="0" w:color="auto"/>
        <w:left w:val="none" w:sz="0" w:space="0" w:color="auto"/>
        <w:bottom w:val="none" w:sz="0" w:space="0" w:color="auto"/>
        <w:right w:val="none" w:sz="0" w:space="0" w:color="auto"/>
      </w:divBdr>
    </w:div>
    <w:div w:id="1683774488">
      <w:bodyDiv w:val="1"/>
      <w:marLeft w:val="0"/>
      <w:marRight w:val="0"/>
      <w:marTop w:val="0"/>
      <w:marBottom w:val="0"/>
      <w:divBdr>
        <w:top w:val="none" w:sz="0" w:space="0" w:color="auto"/>
        <w:left w:val="none" w:sz="0" w:space="0" w:color="auto"/>
        <w:bottom w:val="none" w:sz="0" w:space="0" w:color="auto"/>
        <w:right w:val="none" w:sz="0" w:space="0" w:color="auto"/>
      </w:divBdr>
    </w:div>
    <w:div w:id="1685479118">
      <w:bodyDiv w:val="1"/>
      <w:marLeft w:val="0"/>
      <w:marRight w:val="0"/>
      <w:marTop w:val="0"/>
      <w:marBottom w:val="0"/>
      <w:divBdr>
        <w:top w:val="none" w:sz="0" w:space="0" w:color="auto"/>
        <w:left w:val="none" w:sz="0" w:space="0" w:color="auto"/>
        <w:bottom w:val="none" w:sz="0" w:space="0" w:color="auto"/>
        <w:right w:val="none" w:sz="0" w:space="0" w:color="auto"/>
      </w:divBdr>
    </w:div>
    <w:div w:id="1710452381">
      <w:bodyDiv w:val="1"/>
      <w:marLeft w:val="0"/>
      <w:marRight w:val="0"/>
      <w:marTop w:val="0"/>
      <w:marBottom w:val="0"/>
      <w:divBdr>
        <w:top w:val="none" w:sz="0" w:space="0" w:color="auto"/>
        <w:left w:val="none" w:sz="0" w:space="0" w:color="auto"/>
        <w:bottom w:val="none" w:sz="0" w:space="0" w:color="auto"/>
        <w:right w:val="none" w:sz="0" w:space="0" w:color="auto"/>
      </w:divBdr>
    </w:div>
    <w:div w:id="1718042512">
      <w:bodyDiv w:val="1"/>
      <w:marLeft w:val="0"/>
      <w:marRight w:val="0"/>
      <w:marTop w:val="0"/>
      <w:marBottom w:val="0"/>
      <w:divBdr>
        <w:top w:val="none" w:sz="0" w:space="0" w:color="auto"/>
        <w:left w:val="none" w:sz="0" w:space="0" w:color="auto"/>
        <w:bottom w:val="none" w:sz="0" w:space="0" w:color="auto"/>
        <w:right w:val="none" w:sz="0" w:space="0" w:color="auto"/>
      </w:divBdr>
    </w:div>
    <w:div w:id="1942881856">
      <w:bodyDiv w:val="1"/>
      <w:marLeft w:val="0"/>
      <w:marRight w:val="0"/>
      <w:marTop w:val="0"/>
      <w:marBottom w:val="0"/>
      <w:divBdr>
        <w:top w:val="none" w:sz="0" w:space="0" w:color="auto"/>
        <w:left w:val="none" w:sz="0" w:space="0" w:color="auto"/>
        <w:bottom w:val="none" w:sz="0" w:space="0" w:color="auto"/>
        <w:right w:val="none" w:sz="0" w:space="0" w:color="auto"/>
      </w:divBdr>
    </w:div>
    <w:div w:id="2014330090">
      <w:bodyDiv w:val="1"/>
      <w:marLeft w:val="0"/>
      <w:marRight w:val="0"/>
      <w:marTop w:val="0"/>
      <w:marBottom w:val="0"/>
      <w:divBdr>
        <w:top w:val="none" w:sz="0" w:space="0" w:color="auto"/>
        <w:left w:val="none" w:sz="0" w:space="0" w:color="auto"/>
        <w:bottom w:val="none" w:sz="0" w:space="0" w:color="auto"/>
        <w:right w:val="none" w:sz="0" w:space="0" w:color="auto"/>
      </w:divBdr>
    </w:div>
    <w:div w:id="2143382202">
      <w:bodyDiv w:val="1"/>
      <w:marLeft w:val="0"/>
      <w:marRight w:val="0"/>
      <w:marTop w:val="0"/>
      <w:marBottom w:val="0"/>
      <w:divBdr>
        <w:top w:val="none" w:sz="0" w:space="0" w:color="auto"/>
        <w:left w:val="none" w:sz="0" w:space="0" w:color="auto"/>
        <w:bottom w:val="none" w:sz="0" w:space="0" w:color="auto"/>
        <w:right w:val="none" w:sz="0" w:space="0" w:color="auto"/>
      </w:divBdr>
      <w:divsChild>
        <w:div w:id="1759866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111816">
              <w:marLeft w:val="0"/>
              <w:marRight w:val="0"/>
              <w:marTop w:val="0"/>
              <w:marBottom w:val="0"/>
              <w:divBdr>
                <w:top w:val="none" w:sz="0" w:space="0" w:color="auto"/>
                <w:left w:val="none" w:sz="0" w:space="0" w:color="auto"/>
                <w:bottom w:val="none" w:sz="0" w:space="0" w:color="auto"/>
                <w:right w:val="none" w:sz="0" w:space="0" w:color="auto"/>
              </w:divBdr>
              <w:divsChild>
                <w:div w:id="90167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42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jm.org/doi/full/10.1056/NEJMoa181085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nejm.org/doi/full/10.1056/NEJMoa1810858" TargetMode="External"/><Relationship Id="rId17" Type="http://schemas.openxmlformats.org/officeDocument/2006/relationships/hyperlink" Target="https://www.nhs.uk/conditions/ovarian-cancer/treatment/" TargetMode="External"/><Relationship Id="rId2" Type="http://schemas.openxmlformats.org/officeDocument/2006/relationships/customXml" Target="../customXml/item2.xml"/><Relationship Id="rId16" Type="http://schemas.openxmlformats.org/officeDocument/2006/relationships/hyperlink" Target="http://gco.iarc.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ancer.org/cancer/ovarian-cancer/detection-diagnosis-staging/survival-rates.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strazeneca.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eyword xmlns="44a56295-c29e-4898-8136-a54736c65b82" xsi:nil="true"/>
    <Descriptions xmlns="44a56295-c29e-4898-8136-a54736c65b82" xsi:nil="true"/>
    <SharedWithUsers xmlns="b072ae9d-b025-4d30-8b33-9c99b64624c0">
      <UserInfo>
        <DisplayName>Skelding, Rob</DisplayName>
        <AccountId>46</AccountId>
        <AccountType/>
      </UserInfo>
      <UserInfo>
        <DisplayName>Joublin, Hugues</DisplayName>
        <AccountId>58</AccountId>
        <AccountType/>
      </UserInfo>
      <UserInfo>
        <DisplayName>Kent, Daniel (Figure &amp; Ground Communications)</DisplayName>
        <AccountId>89</AccountId>
        <AccountType/>
      </UserInfo>
      <UserInfo>
        <DisplayName>Castellani, Adam</DisplayName>
        <AccountId>487</AccountId>
        <AccountType/>
      </UserInfo>
      <UserInfo>
        <DisplayName>Viña, Gonzalo</DisplayName>
        <AccountId>197</AccountId>
        <AccountType/>
      </UserInfo>
      <UserInfo>
        <DisplayName>von Seyfried, Marie</DisplayName>
        <AccountId>542</AccountId>
        <AccountType/>
      </UserInfo>
      <UserInfo>
        <DisplayName>Gruvris, Christer</DisplayName>
        <AccountId>15</AccountId>
        <AccountType/>
      </UserInfo>
      <UserInfo>
        <DisplayName>Marks, Craig</DisplayName>
        <AccountId>14</AccountId>
        <AccountType/>
      </UserInfo>
      <UserInfo>
        <DisplayName>Stone, Nick</DisplayName>
        <AccountId>13</AccountId>
        <AccountType/>
      </UserInfo>
      <UserInfo>
        <DisplayName>Wheeler, Henry</DisplayName>
        <AccountId>12</AccountId>
        <AccountType/>
      </UserInfo>
      <UserInfo>
        <DisplayName>Afolabi, Josie</DisplayName>
        <AccountId>128</AccountId>
        <AccountType/>
      </UserInfo>
      <UserInfo>
        <DisplayName>Bowden, Matthew</DisplayName>
        <AccountId>516</AccountId>
        <AccountType/>
      </UserInfo>
      <UserInfo>
        <DisplayName>Wiseman, Camilla</DisplayName>
        <AccountId>105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F64098DF11C24B97C1899282DEAF2B" ma:contentTypeVersion="9" ma:contentTypeDescription="Create a new document." ma:contentTypeScope="" ma:versionID="9942ff4e9d7f99a9193624f0941aa443">
  <xsd:schema xmlns:xsd="http://www.w3.org/2001/XMLSchema" xmlns:xs="http://www.w3.org/2001/XMLSchema" xmlns:p="http://schemas.microsoft.com/office/2006/metadata/properties" xmlns:ns2="44a56295-c29e-4898-8136-a54736c65b82" xmlns:ns3="9c8157d4-95bd-4cf8-847f-c6e9858b3e9f" xmlns:ns4="b072ae9d-b025-4d30-8b33-9c99b64624c0" targetNamespace="http://schemas.microsoft.com/office/2006/metadata/properties" ma:root="true" ma:fieldsID="07cc898720910cc5f58004c386d1030c" ns2:_="" ns3:_="" ns4:_="">
    <xsd:import namespace="44a56295-c29e-4898-8136-a54736c65b82"/>
    <xsd:import namespace="9c8157d4-95bd-4cf8-847f-c6e9858b3e9f"/>
    <xsd:import namespace="b072ae9d-b025-4d30-8b33-9c99b64624c0"/>
    <xsd:element name="properties">
      <xsd:complexType>
        <xsd:sequence>
          <xsd:element name="documentManagement">
            <xsd:complexType>
              <xsd:all>
                <xsd:element ref="ns2:Descriptions" minOccurs="0"/>
                <xsd:element ref="ns2:Keyword" minOccurs="0"/>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157d4-95bd-4cf8-847f-c6e9858b3e9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72ae9d-b025-4d30-8b33-9c99b64624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ee89e71-04cd-405e-9ca3-99e020c1694d"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0240B-6823-45C4-B9F5-8C4CF876EEED}">
  <ds:schemaRefs>
    <ds:schemaRef ds:uri="http://schemas.microsoft.com/office/2006/metadata/properties"/>
    <ds:schemaRef ds:uri="http://schemas.microsoft.com/office/infopath/2007/PartnerControls"/>
    <ds:schemaRef ds:uri="44a56295-c29e-4898-8136-a54736c65b82"/>
    <ds:schemaRef ds:uri="b072ae9d-b025-4d30-8b33-9c99b64624c0"/>
  </ds:schemaRefs>
</ds:datastoreItem>
</file>

<file path=customXml/itemProps2.xml><?xml version="1.0" encoding="utf-8"?>
<ds:datastoreItem xmlns:ds="http://schemas.openxmlformats.org/officeDocument/2006/customXml" ds:itemID="{66FE35AB-2CBA-49B7-8E38-97B029155758}">
  <ds:schemaRefs>
    <ds:schemaRef ds:uri="http://schemas.microsoft.com/sharepoint/v3/contenttype/forms"/>
  </ds:schemaRefs>
</ds:datastoreItem>
</file>

<file path=customXml/itemProps3.xml><?xml version="1.0" encoding="utf-8"?>
<ds:datastoreItem xmlns:ds="http://schemas.openxmlformats.org/officeDocument/2006/customXml" ds:itemID="{B6E07D88-4377-440C-8697-B0BE58C6C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9c8157d4-95bd-4cf8-847f-c6e9858b3e9f"/>
    <ds:schemaRef ds:uri="b072ae9d-b025-4d30-8b33-9c99b6462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A51D0E-733F-4092-B1CE-A93AB0671EB0}">
  <ds:schemaRefs>
    <ds:schemaRef ds:uri="Microsoft.SharePoint.Taxonomy.ContentTypeSync"/>
  </ds:schemaRefs>
</ds:datastoreItem>
</file>

<file path=customXml/itemProps5.xml><?xml version="1.0" encoding="utf-8"?>
<ds:datastoreItem xmlns:ds="http://schemas.openxmlformats.org/officeDocument/2006/customXml" ds:itemID="{0D857B8C-3BC8-41FC-BD1F-BAB84C6D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2024</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TITLE IN HERE, ARIAL 14 BOLD, CAPS</vt:lpstr>
    </vt:vector>
  </TitlesOfParts>
  <Company>Interbrand</Company>
  <LinksUpToDate>false</LinksUpToDate>
  <CharactersWithSpaces>12727</CharactersWithSpaces>
  <SharedDoc>false</SharedDoc>
  <HLinks>
    <vt:vector size="42" baseType="variant">
      <vt:variant>
        <vt:i4>6619194</vt:i4>
      </vt:variant>
      <vt:variant>
        <vt:i4>30</vt:i4>
      </vt:variant>
      <vt:variant>
        <vt:i4>0</vt:i4>
      </vt:variant>
      <vt:variant>
        <vt:i4>5</vt:i4>
      </vt:variant>
      <vt:variant>
        <vt:lpwstr>https://www.nhs.uk/conditions/ovarian-cancer/treatment/</vt:lpwstr>
      </vt:variant>
      <vt:variant>
        <vt:lpwstr/>
      </vt:variant>
      <vt:variant>
        <vt:i4>6553632</vt:i4>
      </vt:variant>
      <vt:variant>
        <vt:i4>27</vt:i4>
      </vt:variant>
      <vt:variant>
        <vt:i4>0</vt:i4>
      </vt:variant>
      <vt:variant>
        <vt:i4>5</vt:i4>
      </vt:variant>
      <vt:variant>
        <vt:lpwstr>http://gco.iarc.fr/</vt:lpwstr>
      </vt:variant>
      <vt:variant>
        <vt:lpwstr/>
      </vt:variant>
      <vt:variant>
        <vt:i4>5898317</vt:i4>
      </vt:variant>
      <vt:variant>
        <vt:i4>24</vt:i4>
      </vt:variant>
      <vt:variant>
        <vt:i4>0</vt:i4>
      </vt:variant>
      <vt:variant>
        <vt:i4>5</vt:i4>
      </vt:variant>
      <vt:variant>
        <vt:lpwstr>https://www.cancer.org/cancer/ovarian-cancer/detection-diagnosis-staging/survival-rates.html</vt:lpwstr>
      </vt:variant>
      <vt:variant>
        <vt:lpwstr/>
      </vt:variant>
      <vt:variant>
        <vt:i4>7274529</vt:i4>
      </vt:variant>
      <vt:variant>
        <vt:i4>21</vt:i4>
      </vt:variant>
      <vt:variant>
        <vt:i4>0</vt:i4>
      </vt:variant>
      <vt:variant>
        <vt:i4>5</vt:i4>
      </vt:variant>
      <vt:variant>
        <vt:lpwstr>https://twitter.com/AstraZeneca</vt:lpwstr>
      </vt:variant>
      <vt:variant>
        <vt:lpwstr/>
      </vt:variant>
      <vt:variant>
        <vt:i4>3145831</vt:i4>
      </vt:variant>
      <vt:variant>
        <vt:i4>18</vt:i4>
      </vt:variant>
      <vt:variant>
        <vt:i4>0</vt:i4>
      </vt:variant>
      <vt:variant>
        <vt:i4>5</vt:i4>
      </vt:variant>
      <vt:variant>
        <vt:lpwstr>http://www.astrazeneca.com/</vt:lpwstr>
      </vt:variant>
      <vt:variant>
        <vt:lpwstr/>
      </vt:variant>
      <vt:variant>
        <vt:i4>3080228</vt:i4>
      </vt:variant>
      <vt:variant>
        <vt:i4>6</vt:i4>
      </vt:variant>
      <vt:variant>
        <vt:i4>0</vt:i4>
      </vt:variant>
      <vt:variant>
        <vt:i4>5</vt:i4>
      </vt:variant>
      <vt:variant>
        <vt:lpwstr>https://www.nejm.org/doi/full/10.1056/NEJMoa1810858</vt:lpwstr>
      </vt:variant>
      <vt:variant>
        <vt:lpwstr/>
      </vt:variant>
      <vt:variant>
        <vt:i4>3080228</vt:i4>
      </vt:variant>
      <vt:variant>
        <vt:i4>3</vt:i4>
      </vt:variant>
      <vt:variant>
        <vt:i4>0</vt:i4>
      </vt:variant>
      <vt:variant>
        <vt:i4>5</vt:i4>
      </vt:variant>
      <vt:variant>
        <vt:lpwstr>https://www.nejm.org/doi/full/10.1056/NEJMoa1810858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 HERE, ARIAL 14 BOLD, CAPS</dc:title>
  <dc:subject/>
  <dc:creator>IT</dc:creator>
  <cp:keywords/>
  <cp:lastModifiedBy>Sjösten, Lotta</cp:lastModifiedBy>
  <cp:revision>2</cp:revision>
  <cp:lastPrinted>2019-06-04T16:36:00Z</cp:lastPrinted>
  <dcterms:created xsi:type="dcterms:W3CDTF">2019-06-18T03:47:00Z</dcterms:created>
  <dcterms:modified xsi:type="dcterms:W3CDTF">2019-06-18T03:47:00Z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vt:lpwstr>
  </property>
  <property fmtid="{D5CDD505-2E9C-101B-9397-08002B2CF9AE}" pid="3" name="ContentTypeId">
    <vt:lpwstr>0x010100F1F64098DF11C24B97C1899282DEAF2B</vt:lpwstr>
  </property>
</Properties>
</file>