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05D7A" w14:textId="77777777" w:rsidR="00E40195" w:rsidRDefault="00E40195" w:rsidP="00015A65">
      <w:pPr>
        <w:spacing w:after="0"/>
        <w:jc w:val="center"/>
        <w:rPr>
          <w:b/>
          <w:sz w:val="24"/>
          <w:u w:val="single"/>
        </w:rPr>
      </w:pPr>
      <w:bookmarkStart w:id="0" w:name="_GoBack"/>
      <w:bookmarkEnd w:id="0"/>
      <w:r>
        <w:rPr>
          <w:b/>
          <w:sz w:val="24"/>
          <w:u w:val="single"/>
        </w:rPr>
        <w:t>Nya europeiska policyrekommendationer om cytotoxiska läkemedel</w:t>
      </w:r>
    </w:p>
    <w:p w14:paraId="2B9A35CD" w14:textId="77777777" w:rsidR="004514D8" w:rsidRPr="00D873B8" w:rsidRDefault="004514D8" w:rsidP="00015A65">
      <w:pPr>
        <w:spacing w:after="0"/>
        <w:jc w:val="center"/>
        <w:rPr>
          <w:b/>
          <w:sz w:val="24"/>
          <w:u w:val="single"/>
        </w:rPr>
      </w:pPr>
    </w:p>
    <w:p w14:paraId="1BAEFAB6" w14:textId="49ED9C20" w:rsidR="00F83121" w:rsidRDefault="00F83121" w:rsidP="00015A65">
      <w:pPr>
        <w:spacing w:after="0"/>
        <w:jc w:val="center"/>
        <w:rPr>
          <w:i/>
        </w:rPr>
      </w:pPr>
      <w:r>
        <w:rPr>
          <w:i/>
        </w:rPr>
        <w:t xml:space="preserve">Europaparlamentets initiativ </w:t>
      </w:r>
      <w:r w:rsidR="00A71F38">
        <w:rPr>
          <w:i/>
        </w:rPr>
        <w:t>”</w:t>
      </w:r>
      <w:proofErr w:type="spellStart"/>
      <w:r>
        <w:rPr>
          <w:i/>
        </w:rPr>
        <w:t>Preventing</w:t>
      </w:r>
      <w:proofErr w:type="spellEnd"/>
      <w:r>
        <w:rPr>
          <w:i/>
        </w:rPr>
        <w:t xml:space="preserve"> </w:t>
      </w:r>
      <w:proofErr w:type="spellStart"/>
      <w:r>
        <w:rPr>
          <w:i/>
        </w:rPr>
        <w:t>occupational</w:t>
      </w:r>
      <w:proofErr w:type="spellEnd"/>
      <w:r>
        <w:rPr>
          <w:i/>
        </w:rPr>
        <w:t xml:space="preserve"> exposure </w:t>
      </w:r>
      <w:proofErr w:type="spellStart"/>
      <w:r>
        <w:rPr>
          <w:i/>
        </w:rPr>
        <w:t>to</w:t>
      </w:r>
      <w:proofErr w:type="spellEnd"/>
      <w:r>
        <w:rPr>
          <w:i/>
        </w:rPr>
        <w:t xml:space="preserve"> </w:t>
      </w:r>
      <w:proofErr w:type="spellStart"/>
      <w:r>
        <w:rPr>
          <w:i/>
        </w:rPr>
        <w:t>cytotoxic</w:t>
      </w:r>
      <w:proofErr w:type="spellEnd"/>
      <w:r>
        <w:rPr>
          <w:i/>
        </w:rPr>
        <w:t xml:space="preserve"> and </w:t>
      </w:r>
      <w:proofErr w:type="spellStart"/>
      <w:r>
        <w:rPr>
          <w:i/>
        </w:rPr>
        <w:t>other</w:t>
      </w:r>
      <w:proofErr w:type="spellEnd"/>
      <w:r>
        <w:rPr>
          <w:i/>
        </w:rPr>
        <w:t xml:space="preserve"> </w:t>
      </w:r>
      <w:proofErr w:type="spellStart"/>
      <w:r>
        <w:rPr>
          <w:i/>
        </w:rPr>
        <w:t>hazardous</w:t>
      </w:r>
      <w:proofErr w:type="spellEnd"/>
      <w:r>
        <w:rPr>
          <w:i/>
        </w:rPr>
        <w:t xml:space="preserve"> </w:t>
      </w:r>
      <w:proofErr w:type="spellStart"/>
      <w:r>
        <w:rPr>
          <w:i/>
        </w:rPr>
        <w:t>drugs</w:t>
      </w:r>
      <w:proofErr w:type="spellEnd"/>
      <w:r w:rsidR="00A71F38">
        <w:rPr>
          <w:i/>
        </w:rPr>
        <w:t>”</w:t>
      </w:r>
      <w:r>
        <w:rPr>
          <w:i/>
        </w:rPr>
        <w:t xml:space="preserve"> (Förebyggande av yrkesmässig exponering för cytotoxiska och andra farliga läkemedel)</w:t>
      </w:r>
    </w:p>
    <w:p w14:paraId="560EB44A" w14:textId="77777777" w:rsidR="004514D8" w:rsidRPr="001D3BBE" w:rsidRDefault="004514D8" w:rsidP="00015A65">
      <w:pPr>
        <w:spacing w:after="0"/>
        <w:jc w:val="center"/>
        <w:rPr>
          <w:b/>
          <w:u w:val="single"/>
        </w:rPr>
      </w:pPr>
    </w:p>
    <w:p w14:paraId="22D4CAC5" w14:textId="09516966" w:rsidR="00E40195" w:rsidRDefault="6185F5B5" w:rsidP="00015A65">
      <w:pPr>
        <w:spacing w:after="0"/>
      </w:pPr>
      <w:r w:rsidRPr="6185F5B5">
        <w:rPr>
          <w:b/>
          <w:bCs/>
        </w:rPr>
        <w:t>Oktober 2016</w:t>
      </w:r>
      <w:r>
        <w:t xml:space="preserve"> – I syfte att skydda hälso- och sjukvårdspersonal i EU har Europaparlamentet tagit initiativ till nya policyrekommendationer om förebyggande av yrkesmässig exponering för cytotoxiska läkemedel.</w:t>
      </w:r>
    </w:p>
    <w:p w14:paraId="0D276B47" w14:textId="77777777" w:rsidR="004514D8" w:rsidRDefault="004514D8" w:rsidP="00015A65">
      <w:pPr>
        <w:spacing w:after="0"/>
      </w:pPr>
    </w:p>
    <w:p w14:paraId="5873B950" w14:textId="03CE55AC" w:rsidR="00E40195" w:rsidRDefault="00F00846" w:rsidP="00015A65">
      <w:pPr>
        <w:spacing w:after="0"/>
      </w:pPr>
      <w:r>
        <w:t xml:space="preserve">Cytotoxiska läkemedel, som främst används i cancerbehandling, klassificeras som farliga och kan </w:t>
      </w:r>
      <w:r w:rsidR="00A71F38">
        <w:t xml:space="preserve">ha hälsoskadliga effekter </w:t>
      </w:r>
      <w:r>
        <w:t>vid exponering på arbetsplatsen. Osäker hantering av cytotoxiska läkemedel har rapporterats orsaka cancer, organtoxicitet, fertilitetsproblem, genetiska skador och medfödda missbildningar. De vanligaste exponeringsvägarna är kontakt med hud eller slemhinna, inandning och förtäring.</w:t>
      </w:r>
    </w:p>
    <w:p w14:paraId="3C4B47F4" w14:textId="77777777" w:rsidR="004514D8" w:rsidRDefault="004514D8" w:rsidP="00015A65">
      <w:pPr>
        <w:spacing w:after="0"/>
      </w:pPr>
    </w:p>
    <w:p w14:paraId="6A99126B" w14:textId="1DB956EB" w:rsidR="00F00846" w:rsidRDefault="00F83121" w:rsidP="00015A65">
      <w:pPr>
        <w:spacing w:after="0"/>
      </w:pPr>
      <w:r>
        <w:t xml:space="preserve">I takt med att incidensen av cancer fortsätter att stiga, ökar användningen av cytotoxiska läkemedel. </w:t>
      </w:r>
      <w:r w:rsidR="00A71F38">
        <w:t xml:space="preserve">Cytotoxiska läkemedel används nu också </w:t>
      </w:r>
      <w:r>
        <w:t xml:space="preserve">i </w:t>
      </w:r>
      <w:r w:rsidR="00A71F38">
        <w:t xml:space="preserve">allt högre </w:t>
      </w:r>
      <w:r>
        <w:t>grad för att behandla hematologiska och reumatiska sjukdomar</w:t>
      </w:r>
      <w:r w:rsidR="00A71F38">
        <w:t xml:space="preserve">. Därmed hanteras de av allt fler inom </w:t>
      </w:r>
      <w:r>
        <w:t>hälso- och sjukvård</w:t>
      </w:r>
      <w:r w:rsidR="00A71F38">
        <w:t>en</w:t>
      </w:r>
      <w:r>
        <w:t xml:space="preserve"> och de</w:t>
      </w:r>
      <w:r w:rsidR="00A71F38">
        <w:t xml:space="preserve"> som löper störst risk för exponering </w:t>
      </w:r>
      <w:r>
        <w:t>är sjuksköterskor, farmaceuter och apotekstekniker</w:t>
      </w:r>
      <w:r w:rsidR="00A71F38">
        <w:t>.</w:t>
      </w:r>
    </w:p>
    <w:p w14:paraId="2F142838" w14:textId="77777777" w:rsidR="004514D8" w:rsidRDefault="004514D8" w:rsidP="00015A65">
      <w:pPr>
        <w:spacing w:after="0"/>
      </w:pPr>
    </w:p>
    <w:p w14:paraId="1B3727A7" w14:textId="4664BF88" w:rsidR="004514D8" w:rsidRDefault="001D3BBE" w:rsidP="00015A65">
      <w:pPr>
        <w:spacing w:after="0"/>
      </w:pPr>
      <w:r>
        <w:t xml:space="preserve">Även om de ökande riskerna har </w:t>
      </w:r>
      <w:r w:rsidR="008108B1">
        <w:t>uppmärksammats</w:t>
      </w:r>
      <w:r>
        <w:t xml:space="preserve"> i Europa – av organ som Europeiska arbetsmiljöbyrån – och vissa normer har införts i många länder, finns det inga europatäckande lagar, riktlinjer eller miniminormer på plats för hantering av cytotoxiska läkemedel. I november 2015 uppmanade emellertid Europaparlamentet kommissionen att vidta åtgärder beträffande kemiska riskfaktorer, däribland exponering för farliga läkemedel.</w:t>
      </w:r>
      <w:r>
        <w:rPr>
          <w:rStyle w:val="Slutkommentarsreferens"/>
        </w:rPr>
        <w:endnoteReference w:id="1"/>
      </w:r>
      <w:r>
        <w:t xml:space="preserve"> Dokumentet med </w:t>
      </w:r>
      <w:r w:rsidR="00AE61D3">
        <w:t xml:space="preserve">de </w:t>
      </w:r>
      <w:r>
        <w:t>nya rekommendationer</w:t>
      </w:r>
      <w:r w:rsidR="00AE61D3">
        <w:t>na</w:t>
      </w:r>
      <w:r>
        <w:t xml:space="preserve">, </w:t>
      </w:r>
      <w:proofErr w:type="spellStart"/>
      <w:r>
        <w:rPr>
          <w:i/>
        </w:rPr>
        <w:t>Preventing</w:t>
      </w:r>
      <w:proofErr w:type="spellEnd"/>
      <w:r>
        <w:rPr>
          <w:i/>
        </w:rPr>
        <w:t xml:space="preserve"> </w:t>
      </w:r>
      <w:proofErr w:type="spellStart"/>
      <w:r>
        <w:rPr>
          <w:i/>
        </w:rPr>
        <w:t>occupational</w:t>
      </w:r>
      <w:proofErr w:type="spellEnd"/>
      <w:r>
        <w:rPr>
          <w:i/>
        </w:rPr>
        <w:t xml:space="preserve"> exposure </w:t>
      </w:r>
      <w:proofErr w:type="spellStart"/>
      <w:r>
        <w:rPr>
          <w:i/>
        </w:rPr>
        <w:t>to</w:t>
      </w:r>
      <w:proofErr w:type="spellEnd"/>
      <w:r>
        <w:rPr>
          <w:i/>
        </w:rPr>
        <w:t xml:space="preserve"> </w:t>
      </w:r>
      <w:proofErr w:type="spellStart"/>
      <w:r>
        <w:rPr>
          <w:i/>
        </w:rPr>
        <w:t>cytotoxic</w:t>
      </w:r>
      <w:proofErr w:type="spellEnd"/>
      <w:r>
        <w:rPr>
          <w:i/>
        </w:rPr>
        <w:t xml:space="preserve"> and </w:t>
      </w:r>
      <w:proofErr w:type="spellStart"/>
      <w:r>
        <w:rPr>
          <w:i/>
        </w:rPr>
        <w:t>other</w:t>
      </w:r>
      <w:proofErr w:type="spellEnd"/>
      <w:r>
        <w:rPr>
          <w:i/>
        </w:rPr>
        <w:t xml:space="preserve"> </w:t>
      </w:r>
      <w:proofErr w:type="spellStart"/>
      <w:r>
        <w:rPr>
          <w:i/>
        </w:rPr>
        <w:t>hazardous</w:t>
      </w:r>
      <w:proofErr w:type="spellEnd"/>
      <w:r>
        <w:rPr>
          <w:i/>
        </w:rPr>
        <w:t xml:space="preserve"> </w:t>
      </w:r>
      <w:proofErr w:type="spellStart"/>
      <w:r>
        <w:rPr>
          <w:i/>
        </w:rPr>
        <w:t>drugs</w:t>
      </w:r>
      <w:proofErr w:type="spellEnd"/>
      <w:r>
        <w:rPr>
          <w:rStyle w:val="Slutkommentarsreferens"/>
          <w:i/>
        </w:rPr>
        <w:endnoteReference w:id="2"/>
      </w:r>
      <w:r>
        <w:t>, efterlyser lagstiftning och lämnar också råd om bästa metoder för att förhindra exponering.</w:t>
      </w:r>
    </w:p>
    <w:p w14:paraId="572007CE" w14:textId="77777777" w:rsidR="001C5255" w:rsidRDefault="001C5255" w:rsidP="00015A65">
      <w:pPr>
        <w:spacing w:after="0"/>
      </w:pPr>
    </w:p>
    <w:p w14:paraId="114D4216" w14:textId="26EC59E9" w:rsidR="00DE2D93" w:rsidRDefault="00F83121" w:rsidP="004514D8">
      <w:pPr>
        <w:autoSpaceDE w:val="0"/>
        <w:autoSpaceDN w:val="0"/>
        <w:adjustRightInd w:val="0"/>
        <w:spacing w:after="0"/>
        <w:rPr>
          <w:rFonts w:cs="EUAlbertina-Regu"/>
        </w:rPr>
      </w:pPr>
      <w:r>
        <w:t xml:space="preserve">Kontinuerlig utbildning av vårdgivare tillsammans med användning av lämplig personlig skyddsutrustning och </w:t>
      </w:r>
      <w:r w:rsidR="008108B1">
        <w:t xml:space="preserve">säkra </w:t>
      </w:r>
      <w:r>
        <w:t>produkter för läkemedelshantering rekommenderas som centrala faktorer för att effektivt förhindra expo</w:t>
      </w:r>
      <w:r w:rsidR="00A71F38">
        <w:t xml:space="preserve">nering för farliga läkemedel. </w:t>
      </w:r>
      <w:r>
        <w:t xml:space="preserve">EU-direktivet 2004/37/EG </w:t>
      </w:r>
      <w:r>
        <w:rPr>
          <w:i/>
        </w:rPr>
        <w:t>om skydd för arbetstagare mot risker vid exponering för carcinogener eller mutagena ämnen i arbetet</w:t>
      </w:r>
      <w:r>
        <w:t xml:space="preserve"> fastställ</w:t>
      </w:r>
      <w:r w:rsidR="00A71F38">
        <w:t>er</w:t>
      </w:r>
      <w:r>
        <w:t xml:space="preserve"> </w:t>
      </w:r>
      <w:r w:rsidR="00A71F38">
        <w:t xml:space="preserve">i klara ordalag </w:t>
      </w:r>
      <w:r>
        <w:t>att ”Om det inte är tekniskt möjligt att byta ut det carcinogena eller det mutagena ämnet mot ett ämne, preparat eller process som vid tillämpat arbetssätt inte innebär risk eller mindre risk för hälsa och säkerhet, skall arbetsgivaren säkerställa att det carcinogena eller mutagena ämnet, i den mån det är tekniskt möjligt, tillverkas och används i ett slutet system.”</w:t>
      </w:r>
      <w:r>
        <w:rPr>
          <w:rStyle w:val="Slutkommentarsreferens"/>
        </w:rPr>
        <w:endnoteReference w:id="3"/>
      </w:r>
      <w:r>
        <w:t xml:space="preserve"> </w:t>
      </w:r>
    </w:p>
    <w:p w14:paraId="6F1D8FAA" w14:textId="77777777" w:rsidR="00DE2D93" w:rsidRDefault="00DE2D93" w:rsidP="004514D8">
      <w:pPr>
        <w:autoSpaceDE w:val="0"/>
        <w:autoSpaceDN w:val="0"/>
        <w:adjustRightInd w:val="0"/>
        <w:spacing w:after="0"/>
        <w:rPr>
          <w:rFonts w:cs="EUAlbertina-Regu"/>
        </w:rPr>
      </w:pPr>
    </w:p>
    <w:p w14:paraId="358C0A51" w14:textId="2281DBB2" w:rsidR="00015A65" w:rsidRPr="007F14B9" w:rsidRDefault="00DE2D93" w:rsidP="007F14B9">
      <w:pPr>
        <w:autoSpaceDE w:val="0"/>
        <w:autoSpaceDN w:val="0"/>
        <w:spacing w:after="0"/>
        <w:rPr>
          <w:color w:val="231F20"/>
        </w:rPr>
      </w:pPr>
      <w:r>
        <w:t xml:space="preserve">I </w:t>
      </w:r>
      <w:proofErr w:type="spellStart"/>
      <w:r w:rsidR="008108B1" w:rsidRPr="7FBF54E8">
        <w:rPr>
          <w:i/>
          <w:iCs/>
        </w:rPr>
        <w:t>Protecting</w:t>
      </w:r>
      <w:proofErr w:type="spellEnd"/>
      <w:r w:rsidR="008108B1" w:rsidRPr="7FBF54E8">
        <w:rPr>
          <w:i/>
          <w:iCs/>
        </w:rPr>
        <w:t xml:space="preserve"> </w:t>
      </w:r>
      <w:proofErr w:type="spellStart"/>
      <w:r w:rsidR="008108B1" w:rsidRPr="7FBF54E8">
        <w:rPr>
          <w:i/>
          <w:iCs/>
        </w:rPr>
        <w:t>healthcare</w:t>
      </w:r>
      <w:proofErr w:type="spellEnd"/>
      <w:r w:rsidR="008108B1" w:rsidRPr="7FBF54E8">
        <w:rPr>
          <w:i/>
          <w:iCs/>
        </w:rPr>
        <w:t xml:space="preserve"> </w:t>
      </w:r>
      <w:proofErr w:type="spellStart"/>
      <w:r w:rsidR="008108B1" w:rsidRPr="7FBF54E8">
        <w:rPr>
          <w:i/>
          <w:iCs/>
        </w:rPr>
        <w:t>professionals</w:t>
      </w:r>
      <w:proofErr w:type="spellEnd"/>
      <w:r w:rsidR="008108B1" w:rsidRPr="7FBF54E8">
        <w:rPr>
          <w:i/>
          <w:iCs/>
        </w:rPr>
        <w:t xml:space="preserve"> at risk </w:t>
      </w:r>
      <w:proofErr w:type="spellStart"/>
      <w:r w:rsidR="008108B1" w:rsidRPr="7FBF54E8">
        <w:rPr>
          <w:i/>
          <w:iCs/>
        </w:rPr>
        <w:t>of</w:t>
      </w:r>
      <w:proofErr w:type="spellEnd"/>
      <w:r w:rsidR="008108B1" w:rsidRPr="7FBF54E8">
        <w:rPr>
          <w:i/>
          <w:iCs/>
        </w:rPr>
        <w:t xml:space="preserve"> exposure </w:t>
      </w:r>
      <w:proofErr w:type="spellStart"/>
      <w:r w:rsidR="008108B1" w:rsidRPr="7FBF54E8">
        <w:rPr>
          <w:i/>
          <w:iCs/>
        </w:rPr>
        <w:t>to</w:t>
      </w:r>
      <w:proofErr w:type="spellEnd"/>
      <w:r w:rsidR="008108B1" w:rsidRPr="7FBF54E8">
        <w:rPr>
          <w:i/>
          <w:iCs/>
        </w:rPr>
        <w:t xml:space="preserve"> </w:t>
      </w:r>
      <w:proofErr w:type="spellStart"/>
      <w:r w:rsidR="008108B1" w:rsidRPr="7FBF54E8">
        <w:rPr>
          <w:i/>
          <w:iCs/>
        </w:rPr>
        <w:t>antineoplastic</w:t>
      </w:r>
      <w:proofErr w:type="spellEnd"/>
      <w:r w:rsidR="008108B1" w:rsidRPr="7FBF54E8">
        <w:rPr>
          <w:i/>
          <w:iCs/>
        </w:rPr>
        <w:t xml:space="preserve"> </w:t>
      </w:r>
      <w:proofErr w:type="spellStart"/>
      <w:r w:rsidR="008108B1" w:rsidRPr="7FBF54E8">
        <w:rPr>
          <w:i/>
          <w:iCs/>
        </w:rPr>
        <w:t>drugs</w:t>
      </w:r>
      <w:proofErr w:type="spellEnd"/>
      <w:r w:rsidR="008108B1" w:rsidRPr="7FBF54E8">
        <w:rPr>
          <w:i/>
          <w:iCs/>
        </w:rPr>
        <w:t xml:space="preserve"> </w:t>
      </w:r>
      <w:r w:rsidR="008108B1">
        <w:t xml:space="preserve">(Skydd av hälso- och sjukvårdspersonal som riskerar att exponeras för </w:t>
      </w:r>
      <w:proofErr w:type="spellStart"/>
      <w:r w:rsidR="008108B1">
        <w:t>antineoplastiska</w:t>
      </w:r>
      <w:proofErr w:type="spellEnd"/>
      <w:r w:rsidR="008108B1">
        <w:t xml:space="preserve"> läkemedel), </w:t>
      </w:r>
      <w:r>
        <w:t xml:space="preserve">de nyligen publicerade tekniska riktlinjerna från SIFO, den italienska sammanslutningen för sjukhusapotek och farmaceutiska tjänster för hälso- och sjukvårdsorganisationer, fastställs att </w:t>
      </w:r>
      <w:r w:rsidR="00A71F38">
        <w:t>”</w:t>
      </w:r>
      <w:r>
        <w:t>det är nödvändigt att använda system som kan definieras som ’slutna’ vid överföring av läkemedel under berednings- och administreringssteg</w:t>
      </w:r>
      <w:r w:rsidR="00A71F38">
        <w:t xml:space="preserve">” </w:t>
      </w:r>
      <w:r w:rsidR="00895737">
        <w:t>och att "det är sjukhusapotekets ansvar att undersöka den tekniska och vetenskapliga dokumentation</w:t>
      </w:r>
      <w:r w:rsidR="00A71F38">
        <w:t>en</w:t>
      </w:r>
      <w:r w:rsidR="00895737">
        <w:t xml:space="preserve"> och relaterad certifiering/överensstämmelse </w:t>
      </w:r>
      <w:r w:rsidR="00A71F38">
        <w:t xml:space="preserve">samt </w:t>
      </w:r>
      <w:r w:rsidR="00895737">
        <w:t xml:space="preserve">att välja produkter som ger den bästa garantin för </w:t>
      </w:r>
      <w:r w:rsidR="008108B1">
        <w:t>att</w:t>
      </w:r>
      <w:r w:rsidR="00895737">
        <w:t xml:space="preserve"> det ’slutna systemet’</w:t>
      </w:r>
      <w:r w:rsidR="008108B1">
        <w:t xml:space="preserve"> skyddas</w:t>
      </w:r>
      <w:r w:rsidR="00895737">
        <w:t>."</w:t>
      </w:r>
      <w:r w:rsidR="00895737">
        <w:rPr>
          <w:rStyle w:val="Slutkommentarsreferens"/>
        </w:rPr>
        <w:endnoteReference w:id="4"/>
      </w:r>
      <w:r w:rsidR="00895737">
        <w:t xml:space="preserve"> Även om de flesta </w:t>
      </w:r>
      <w:r w:rsidR="00895737">
        <w:lastRenderedPageBreak/>
        <w:t>europeiska apotek idag bereder cytotoxiska läkemedel i system,</w:t>
      </w:r>
      <w:r w:rsidR="00A71F38">
        <w:t xml:space="preserve"> </w:t>
      </w:r>
      <w:r w:rsidR="00895737">
        <w:t xml:space="preserve">som biologiska säkerhetsskåp </w:t>
      </w:r>
      <w:r w:rsidR="00AD5122">
        <w:t>eller isolatorer, utgör</w:t>
      </w:r>
      <w:r w:rsidR="00895737">
        <w:t xml:space="preserve"> exponering för cytotoxiska läkemedel bland hälso- och sjukvårdspersonal fortfarande ett problem.</w:t>
      </w:r>
    </w:p>
    <w:p w14:paraId="0DFA7AC6" w14:textId="77777777" w:rsidR="00015A65" w:rsidRPr="007F14B9" w:rsidRDefault="00015A65" w:rsidP="00015A65">
      <w:pPr>
        <w:autoSpaceDE w:val="0"/>
        <w:autoSpaceDN w:val="0"/>
        <w:adjustRightInd w:val="0"/>
        <w:spacing w:after="0"/>
        <w:rPr>
          <w:rFonts w:cs="EUAlbertina-Regu"/>
        </w:rPr>
      </w:pPr>
    </w:p>
    <w:p w14:paraId="5161B7C7" w14:textId="352A53A9" w:rsidR="001C5255" w:rsidRPr="00015A65" w:rsidRDefault="00F83121" w:rsidP="00015A65">
      <w:pPr>
        <w:autoSpaceDE w:val="0"/>
        <w:autoSpaceDN w:val="0"/>
        <w:adjustRightInd w:val="0"/>
        <w:spacing w:after="0"/>
        <w:rPr>
          <w:rFonts w:cs="EUAlbertina-Regu"/>
        </w:rPr>
      </w:pPr>
      <w:r>
        <w:t>Europaparlamentets dokument lyfter fram 11 centrala rekommendationer som fokuserar på de steg som ska tas för att säkerställa bindande europeisk lagstiftning i syfte att skydda all hälso- och sjukvårdspersonal som hanterar cytotoxiska läkemedel</w:t>
      </w:r>
      <w:r w:rsidR="00AD5122">
        <w:t>,</w:t>
      </w:r>
      <w:r>
        <w:t xml:space="preserve"> och uppmanar Europakommissionen att vidta åtgärder.</w:t>
      </w:r>
    </w:p>
    <w:p w14:paraId="64F0725D" w14:textId="77777777" w:rsidR="001C5255" w:rsidRDefault="001C5255" w:rsidP="00015A65">
      <w:pPr>
        <w:spacing w:after="0"/>
      </w:pPr>
    </w:p>
    <w:p w14:paraId="141A2865" w14:textId="218AAC64" w:rsidR="0055244B" w:rsidRDefault="00E85C58" w:rsidP="00015A65">
      <w:pPr>
        <w:spacing w:after="0"/>
      </w:pPr>
      <w:r>
        <w:t>Det nya dokumentet rekommenderar "slutna överföringssystem</w:t>
      </w:r>
      <w:r w:rsidR="008108B1">
        <w:t>”</w:t>
      </w:r>
      <w:r>
        <w:t xml:space="preserve"> (</w:t>
      </w:r>
      <w:proofErr w:type="spellStart"/>
      <w:r>
        <w:t>Closed</w:t>
      </w:r>
      <w:proofErr w:type="spellEnd"/>
      <w:r>
        <w:t xml:space="preserve"> System Transfer </w:t>
      </w:r>
      <w:proofErr w:type="spellStart"/>
      <w:r>
        <w:t>Device</w:t>
      </w:r>
      <w:proofErr w:type="spellEnd"/>
      <w:r>
        <w:t xml:space="preserve">, </w:t>
      </w:r>
      <w:proofErr w:type="spellStart"/>
      <w:r>
        <w:t>CSTD</w:t>
      </w:r>
      <w:proofErr w:type="spellEnd"/>
      <w:r>
        <w:t>) som den enda utrustning som har konstruerats särskilt för att skydda hälso- och sjukvårdspersonal mot yrkesmässig exponering för farliga substanser men varnar för att "vissa utrustningsleverantörer hävdar att deras system är slutna</w:t>
      </w:r>
      <w:r w:rsidR="00AD5122">
        <w:t xml:space="preserve"> trots att de</w:t>
      </w:r>
      <w:r>
        <w:t xml:space="preserve"> producerar aerosoler, ångor och droppar". </w:t>
      </w:r>
      <w:proofErr w:type="spellStart"/>
      <w:r>
        <w:t>NIOSH</w:t>
      </w:r>
      <w:proofErr w:type="spellEnd"/>
      <w:r>
        <w:t xml:space="preserve"> definierar </w:t>
      </w:r>
      <w:proofErr w:type="spellStart"/>
      <w:r>
        <w:t>CSTD</w:t>
      </w:r>
      <w:proofErr w:type="spellEnd"/>
      <w:r>
        <w:t xml:space="preserve"> som ”ett system för överföring av läkemedel som mekaniskt förhindrar att miljöföroreningar tränger in i systemet och att farliga</w:t>
      </w:r>
      <w:r w:rsidR="00AD5122">
        <w:t xml:space="preserve"> koncentrationer av</w:t>
      </w:r>
      <w:r>
        <w:t xml:space="preserve"> läkemedel eller ångor tränger ut ur systemet.”</w:t>
      </w:r>
      <w:r>
        <w:rPr>
          <w:rStyle w:val="Slutkommentarsreferens"/>
        </w:rPr>
        <w:endnoteReference w:id="5"/>
      </w:r>
      <w:r>
        <w:t xml:space="preserve"> Eftersom inandning av cytotoxiska läkemedel kan orsaka skada efterlyser författarna till dokumentet en gemensam definition av ”slutna system </w:t>
      </w:r>
      <w:r w:rsidR="00AD5122">
        <w:t xml:space="preserve">för överföring av läkemedel” med angivande av </w:t>
      </w:r>
      <w:r>
        <w:t>de tekniska specifikationer som måste uppfyllas.</w:t>
      </w:r>
    </w:p>
    <w:p w14:paraId="02D854C3" w14:textId="77777777" w:rsidR="001C5255" w:rsidRDefault="001C5255" w:rsidP="00015A65">
      <w:pPr>
        <w:spacing w:after="0"/>
      </w:pPr>
    </w:p>
    <w:p w14:paraId="4A8C5AB8" w14:textId="599D1580" w:rsidR="0055244B" w:rsidRPr="00306288" w:rsidRDefault="0055244B" w:rsidP="004514D8">
      <w:pPr>
        <w:pStyle w:val="Default"/>
        <w:spacing w:line="276" w:lineRule="auto"/>
        <w:rPr>
          <w:color w:val="auto"/>
          <w:sz w:val="22"/>
          <w:szCs w:val="22"/>
        </w:rPr>
      </w:pPr>
      <w:r>
        <w:rPr>
          <w:color w:val="auto"/>
          <w:sz w:val="22"/>
        </w:rPr>
        <w:t xml:space="preserve">För närvarande finns det inte någon europatäckande officiell vägledning eller lagstiftning men spanska </w:t>
      </w:r>
      <w:proofErr w:type="spellStart"/>
      <w:r>
        <w:rPr>
          <w:color w:val="auto"/>
          <w:sz w:val="22"/>
        </w:rPr>
        <w:t>Instituto</w:t>
      </w:r>
      <w:proofErr w:type="spellEnd"/>
      <w:r>
        <w:rPr>
          <w:color w:val="auto"/>
          <w:sz w:val="22"/>
        </w:rPr>
        <w:t xml:space="preserve"> </w:t>
      </w:r>
      <w:proofErr w:type="spellStart"/>
      <w:r>
        <w:rPr>
          <w:color w:val="auto"/>
          <w:sz w:val="22"/>
        </w:rPr>
        <w:t>Nacional</w:t>
      </w:r>
      <w:proofErr w:type="spellEnd"/>
      <w:r>
        <w:rPr>
          <w:color w:val="auto"/>
          <w:sz w:val="22"/>
        </w:rPr>
        <w:t xml:space="preserve"> de </w:t>
      </w:r>
      <w:proofErr w:type="spellStart"/>
      <w:r>
        <w:rPr>
          <w:color w:val="auto"/>
          <w:sz w:val="22"/>
        </w:rPr>
        <w:t>Seguridad</w:t>
      </w:r>
      <w:proofErr w:type="spellEnd"/>
      <w:r>
        <w:rPr>
          <w:color w:val="auto"/>
          <w:sz w:val="22"/>
        </w:rPr>
        <w:t xml:space="preserve"> e </w:t>
      </w:r>
      <w:proofErr w:type="spellStart"/>
      <w:r>
        <w:rPr>
          <w:color w:val="auto"/>
          <w:sz w:val="22"/>
        </w:rPr>
        <w:t>Higiene</w:t>
      </w:r>
      <w:proofErr w:type="spellEnd"/>
      <w:r>
        <w:rPr>
          <w:color w:val="auto"/>
          <w:sz w:val="22"/>
        </w:rPr>
        <w:t xml:space="preserve"> en el </w:t>
      </w:r>
      <w:proofErr w:type="spellStart"/>
      <w:r>
        <w:rPr>
          <w:color w:val="auto"/>
          <w:sz w:val="22"/>
        </w:rPr>
        <w:t>Trabajo</w:t>
      </w:r>
      <w:proofErr w:type="spellEnd"/>
      <w:r>
        <w:rPr>
          <w:color w:val="auto"/>
          <w:sz w:val="22"/>
        </w:rPr>
        <w:t xml:space="preserve"> (nationella arbetsmiljöinstitutet) har publicerat en tydlig definition av </w:t>
      </w:r>
      <w:proofErr w:type="spellStart"/>
      <w:r>
        <w:rPr>
          <w:color w:val="auto"/>
          <w:sz w:val="22"/>
        </w:rPr>
        <w:t>CSTD</w:t>
      </w:r>
      <w:proofErr w:type="spellEnd"/>
      <w:r>
        <w:rPr>
          <w:color w:val="auto"/>
          <w:sz w:val="22"/>
        </w:rPr>
        <w:t xml:space="preserve"> och de tekniska specifikationer som ett system måste uppfylla i en ny Nota </w:t>
      </w:r>
      <w:proofErr w:type="spellStart"/>
      <w:r>
        <w:rPr>
          <w:color w:val="auto"/>
          <w:sz w:val="22"/>
        </w:rPr>
        <w:t>Técnica</w:t>
      </w:r>
      <w:proofErr w:type="spellEnd"/>
      <w:r>
        <w:rPr>
          <w:color w:val="auto"/>
          <w:sz w:val="22"/>
        </w:rPr>
        <w:t xml:space="preserve"> de </w:t>
      </w:r>
      <w:proofErr w:type="spellStart"/>
      <w:r>
        <w:rPr>
          <w:color w:val="auto"/>
          <w:sz w:val="22"/>
        </w:rPr>
        <w:t>Prevención</w:t>
      </w:r>
      <w:proofErr w:type="spellEnd"/>
      <w:r>
        <w:rPr>
          <w:color w:val="auto"/>
          <w:sz w:val="22"/>
        </w:rPr>
        <w:t xml:space="preserve"> (tekniskt preventionsmeddelande) - NTP 1051</w:t>
      </w:r>
      <w:r>
        <w:rPr>
          <w:rStyle w:val="Slutkommentarsreferens"/>
          <w:color w:val="auto"/>
          <w:sz w:val="22"/>
        </w:rPr>
        <w:endnoteReference w:id="6"/>
      </w:r>
      <w:r>
        <w:rPr>
          <w:color w:val="auto"/>
          <w:sz w:val="22"/>
        </w:rPr>
        <w:t xml:space="preserve">. Dokumentet – </w:t>
      </w:r>
      <w:proofErr w:type="spellStart"/>
      <w:r>
        <w:rPr>
          <w:i/>
          <w:color w:val="auto"/>
          <w:sz w:val="22"/>
        </w:rPr>
        <w:t>Occupational</w:t>
      </w:r>
      <w:proofErr w:type="spellEnd"/>
      <w:r>
        <w:rPr>
          <w:i/>
          <w:color w:val="auto"/>
          <w:sz w:val="22"/>
        </w:rPr>
        <w:t xml:space="preserve"> exposure </w:t>
      </w:r>
      <w:proofErr w:type="spellStart"/>
      <w:r>
        <w:rPr>
          <w:i/>
          <w:color w:val="auto"/>
          <w:sz w:val="22"/>
        </w:rPr>
        <w:t>to</w:t>
      </w:r>
      <w:proofErr w:type="spellEnd"/>
      <w:r>
        <w:rPr>
          <w:i/>
          <w:color w:val="auto"/>
          <w:sz w:val="22"/>
        </w:rPr>
        <w:t xml:space="preserve"> </w:t>
      </w:r>
      <w:proofErr w:type="spellStart"/>
      <w:r>
        <w:rPr>
          <w:i/>
          <w:color w:val="auto"/>
          <w:sz w:val="22"/>
        </w:rPr>
        <w:t>cytostatic</w:t>
      </w:r>
      <w:proofErr w:type="spellEnd"/>
      <w:r>
        <w:rPr>
          <w:i/>
          <w:color w:val="auto"/>
          <w:sz w:val="22"/>
        </w:rPr>
        <w:t xml:space="preserve"> </w:t>
      </w:r>
      <w:proofErr w:type="spellStart"/>
      <w:r>
        <w:rPr>
          <w:i/>
          <w:color w:val="auto"/>
          <w:sz w:val="22"/>
        </w:rPr>
        <w:t>compounds</w:t>
      </w:r>
      <w:proofErr w:type="spellEnd"/>
      <w:r>
        <w:rPr>
          <w:i/>
          <w:color w:val="auto"/>
          <w:sz w:val="22"/>
        </w:rPr>
        <w:t xml:space="preserve">: </w:t>
      </w:r>
      <w:proofErr w:type="spellStart"/>
      <w:r>
        <w:rPr>
          <w:i/>
          <w:color w:val="auto"/>
          <w:sz w:val="22"/>
        </w:rPr>
        <w:t>safe</w:t>
      </w:r>
      <w:proofErr w:type="spellEnd"/>
      <w:r>
        <w:rPr>
          <w:i/>
          <w:color w:val="auto"/>
          <w:sz w:val="22"/>
        </w:rPr>
        <w:t xml:space="preserve"> systems for </w:t>
      </w:r>
      <w:proofErr w:type="spellStart"/>
      <w:r>
        <w:rPr>
          <w:i/>
          <w:color w:val="auto"/>
          <w:sz w:val="22"/>
        </w:rPr>
        <w:t>their</w:t>
      </w:r>
      <w:proofErr w:type="spellEnd"/>
      <w:r>
        <w:rPr>
          <w:i/>
          <w:color w:val="auto"/>
          <w:sz w:val="22"/>
        </w:rPr>
        <w:t xml:space="preserve"> preparation</w:t>
      </w:r>
      <w:r>
        <w:rPr>
          <w:color w:val="auto"/>
          <w:sz w:val="22"/>
        </w:rPr>
        <w:t xml:space="preserve"> </w:t>
      </w:r>
      <w:r w:rsidR="00AE61D3">
        <w:rPr>
          <w:color w:val="auto"/>
          <w:sz w:val="22"/>
        </w:rPr>
        <w:t xml:space="preserve">(Yrkesmässig exponering för cytostatika: säkra beredningssystem) </w:t>
      </w:r>
      <w:r>
        <w:rPr>
          <w:color w:val="auto"/>
          <w:sz w:val="22"/>
        </w:rPr>
        <w:t>– publicerat 2015</w:t>
      </w:r>
      <w:r w:rsidR="00AE61D3">
        <w:rPr>
          <w:color w:val="auto"/>
          <w:sz w:val="22"/>
        </w:rPr>
        <w:t>,</w:t>
      </w:r>
      <w:r>
        <w:rPr>
          <w:color w:val="auto"/>
          <w:sz w:val="22"/>
        </w:rPr>
        <w:t xml:space="preserve"> fastställer de villkor som </w:t>
      </w:r>
      <w:proofErr w:type="spellStart"/>
      <w:r>
        <w:rPr>
          <w:color w:val="auto"/>
          <w:sz w:val="22"/>
        </w:rPr>
        <w:t>CSTD</w:t>
      </w:r>
      <w:proofErr w:type="spellEnd"/>
      <w:r>
        <w:rPr>
          <w:color w:val="auto"/>
          <w:sz w:val="22"/>
        </w:rPr>
        <w:t xml:space="preserve">-produkter måste uppfylla för hantering av cytostatika, vilka inbegriper frånvaro av förorening av luft och personal, </w:t>
      </w:r>
      <w:proofErr w:type="spellStart"/>
      <w:r>
        <w:rPr>
          <w:color w:val="auto"/>
          <w:sz w:val="22"/>
        </w:rPr>
        <w:t>asepsis</w:t>
      </w:r>
      <w:proofErr w:type="spellEnd"/>
      <w:r>
        <w:rPr>
          <w:color w:val="auto"/>
          <w:sz w:val="22"/>
        </w:rPr>
        <w:t>, tillförlitlig användning (inklusive säkerhetsaspekter och ergonomi), total tömningskapacitet, universalkopplingar och skydd mot kemisk</w:t>
      </w:r>
      <w:r w:rsidR="00AD5122">
        <w:rPr>
          <w:color w:val="auto"/>
          <w:sz w:val="22"/>
        </w:rPr>
        <w:t xml:space="preserve"> kontamination. Detta kan </w:t>
      </w:r>
      <w:r w:rsidR="00AE61D3">
        <w:rPr>
          <w:color w:val="auto"/>
          <w:sz w:val="22"/>
        </w:rPr>
        <w:t xml:space="preserve">bidra till ett bra underlag </w:t>
      </w:r>
      <w:r w:rsidR="00AD5122">
        <w:rPr>
          <w:color w:val="auto"/>
          <w:sz w:val="22"/>
        </w:rPr>
        <w:t>när</w:t>
      </w:r>
      <w:r>
        <w:rPr>
          <w:color w:val="auto"/>
          <w:sz w:val="22"/>
        </w:rPr>
        <w:t xml:space="preserve"> europatäckande officiella organ eller andra enskilda länder</w:t>
      </w:r>
      <w:r w:rsidR="00AD5122">
        <w:rPr>
          <w:color w:val="auto"/>
          <w:sz w:val="22"/>
        </w:rPr>
        <w:t xml:space="preserve"> ska fastställa riktlinjer</w:t>
      </w:r>
      <w:r>
        <w:rPr>
          <w:color w:val="auto"/>
          <w:sz w:val="22"/>
        </w:rPr>
        <w:t>.</w:t>
      </w:r>
    </w:p>
    <w:p w14:paraId="05812F3F" w14:textId="77777777" w:rsidR="0055244B" w:rsidRPr="004514D8" w:rsidRDefault="0055244B">
      <w:pPr>
        <w:pStyle w:val="Default"/>
        <w:spacing w:line="276" w:lineRule="auto"/>
        <w:rPr>
          <w:color w:val="auto"/>
          <w:sz w:val="22"/>
          <w:szCs w:val="22"/>
        </w:rPr>
      </w:pPr>
    </w:p>
    <w:p w14:paraId="47FE34AA" w14:textId="0DB2EC82" w:rsidR="00E85C58" w:rsidRDefault="0021306E" w:rsidP="00015A65">
      <w:pPr>
        <w:spacing w:after="0"/>
      </w:pPr>
      <w:r>
        <w:t xml:space="preserve">Dr Paul </w:t>
      </w:r>
      <w:proofErr w:type="spellStart"/>
      <w:r>
        <w:t>J.M</w:t>
      </w:r>
      <w:proofErr w:type="spellEnd"/>
      <w:r>
        <w:t xml:space="preserve">. </w:t>
      </w:r>
      <w:proofErr w:type="spellStart"/>
      <w:r>
        <w:t>Sessink</w:t>
      </w:r>
      <w:proofErr w:type="spellEnd"/>
      <w:r>
        <w:t xml:space="preserve">, Exposure Control Sweden AB, som deltog i utarbetandet av rekommendationerna, säger: "När användningen av cytotoxiska läkemedel fortsätter att öka behöver vi skydda den hälso- och sjukvårdspersonal som hanterar dem mot exponering och biverkningar. Hälso- och sjukvårdspersonals hälsa och välbefinnande är vårt främsta fokus men förebyggande av exponering kommer också att bidra till den europeiska hälso- och sjukvårdssektorns hållbarhet genom att höja moralen och förebygga frånvaro bland personalen." </w:t>
      </w:r>
    </w:p>
    <w:p w14:paraId="40387809" w14:textId="77777777" w:rsidR="001C5255" w:rsidRDefault="001C5255" w:rsidP="00015A65">
      <w:pPr>
        <w:spacing w:after="0"/>
      </w:pPr>
    </w:p>
    <w:p w14:paraId="7E37411C" w14:textId="51D1B06F" w:rsidR="00756FA9" w:rsidRDefault="00E85C58" w:rsidP="004514D8">
      <w:pPr>
        <w:spacing w:after="0"/>
      </w:pPr>
      <w:r>
        <w:t xml:space="preserve">Johan </w:t>
      </w:r>
      <w:proofErr w:type="spellStart"/>
      <w:r>
        <w:t>Vandenbroucke</w:t>
      </w:r>
      <w:proofErr w:type="spellEnd"/>
      <w:r>
        <w:t xml:space="preserve">, Senior </w:t>
      </w:r>
      <w:proofErr w:type="spellStart"/>
      <w:r>
        <w:t>Pharmacist</w:t>
      </w:r>
      <w:proofErr w:type="spellEnd"/>
      <w:r>
        <w:t xml:space="preserve"> </w:t>
      </w:r>
      <w:proofErr w:type="spellStart"/>
      <w:r>
        <w:t>Production</w:t>
      </w:r>
      <w:proofErr w:type="spellEnd"/>
      <w:r>
        <w:t xml:space="preserve"> vid Gents universitetssjukhus, som också </w:t>
      </w:r>
      <w:r w:rsidR="00AE61D3">
        <w:t>har bidragit till</w:t>
      </w:r>
      <w:r>
        <w:t xml:space="preserve"> riktlinjerna, tillägger: "Även om farorna med exponering för cytotoxiska läkemedel har varit välkända under </w:t>
      </w:r>
      <w:r w:rsidR="00AD5122">
        <w:t xml:space="preserve">ett antal </w:t>
      </w:r>
      <w:r>
        <w:t>år, finns det ingen officiell vägledning eller lagstiftning på plats i Europa. Förhoppningsvis kommer dessa rekommendationer att vara det första steget mot införandet av EU-täckande miniminormer".</w:t>
      </w:r>
    </w:p>
    <w:p w14:paraId="28C9C9D5" w14:textId="77777777" w:rsidR="0086341E" w:rsidRPr="00C407DD" w:rsidRDefault="0086341E" w:rsidP="00D873B8">
      <w:pPr>
        <w:spacing w:after="0"/>
      </w:pPr>
    </w:p>
    <w:p w14:paraId="6050B131" w14:textId="77777777" w:rsidR="00DF72E2" w:rsidRPr="00D873B8" w:rsidRDefault="00DF72E2" w:rsidP="00D873B8">
      <w:pPr>
        <w:pStyle w:val="Default"/>
        <w:spacing w:line="276" w:lineRule="auto"/>
        <w:rPr>
          <w:bCs/>
          <w:sz w:val="22"/>
          <w:szCs w:val="22"/>
        </w:rPr>
      </w:pPr>
    </w:p>
    <w:p w14:paraId="12AA8337" w14:textId="77777777" w:rsidR="003070E2" w:rsidRDefault="003070E2" w:rsidP="006D5B23">
      <w:pPr>
        <w:rPr>
          <w:i/>
        </w:rPr>
      </w:pPr>
    </w:p>
    <w:p w14:paraId="3278835D" w14:textId="77777777" w:rsidR="00F00846" w:rsidRDefault="002D11C4" w:rsidP="002D11C4">
      <w:pPr>
        <w:jc w:val="center"/>
        <w:rPr>
          <w:b/>
        </w:rPr>
      </w:pPr>
      <w:r>
        <w:rPr>
          <w:b/>
        </w:rPr>
        <w:lastRenderedPageBreak/>
        <w:t>SLUT</w:t>
      </w:r>
    </w:p>
    <w:p w14:paraId="54544AF8" w14:textId="77777777" w:rsidR="006D5B23" w:rsidRDefault="006D5B23" w:rsidP="002D11C4">
      <w:pPr>
        <w:jc w:val="center"/>
        <w:rPr>
          <w:b/>
        </w:rPr>
      </w:pPr>
    </w:p>
    <w:p w14:paraId="40CCF12C" w14:textId="77777777" w:rsidR="00325906" w:rsidRDefault="00325906" w:rsidP="002D11C4">
      <w:pPr>
        <w:jc w:val="center"/>
        <w:rPr>
          <w:b/>
        </w:rPr>
      </w:pPr>
    </w:p>
    <w:sectPr w:rsidR="0032590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92881" w14:textId="77777777" w:rsidR="00EE17CE" w:rsidRDefault="00EE17CE" w:rsidP="0020679A">
      <w:pPr>
        <w:spacing w:after="0" w:line="240" w:lineRule="auto"/>
      </w:pPr>
      <w:r>
        <w:separator/>
      </w:r>
    </w:p>
  </w:endnote>
  <w:endnote w:type="continuationSeparator" w:id="0">
    <w:p w14:paraId="3FC2BB7C" w14:textId="77777777" w:rsidR="00EE17CE" w:rsidRDefault="00EE17CE" w:rsidP="0020679A">
      <w:pPr>
        <w:spacing w:after="0" w:line="240" w:lineRule="auto"/>
      </w:pPr>
      <w:r>
        <w:continuationSeparator/>
      </w:r>
    </w:p>
  </w:endnote>
  <w:endnote w:id="1">
    <w:p w14:paraId="72038347" w14:textId="77777777" w:rsidR="003070E2" w:rsidRPr="00D873B8" w:rsidRDefault="003070E2">
      <w:pPr>
        <w:pStyle w:val="Slutkommentar"/>
        <w:rPr>
          <w:sz w:val="18"/>
          <w:szCs w:val="18"/>
        </w:rPr>
      </w:pPr>
      <w:r>
        <w:rPr>
          <w:rStyle w:val="Slutkommentarsreferens"/>
          <w:sz w:val="18"/>
        </w:rPr>
        <w:endnoteRef/>
      </w:r>
      <w:r>
        <w:rPr>
          <w:sz w:val="18"/>
        </w:rPr>
        <w:t xml:space="preserve"> I sysselsättningsutskottets betänkande om EU:s strategiska ram för arbetsmiljö 2014-2010 uppmanade Europaparlamentet kommissionen att vidta åtgärder beträffande kemiska riskfaktorer inom hälso- och sjukvårdssektorn och att inkludera konkreta åtgärder beträffande hälso- och sjukvårdspersonals exponering för farliga läkemedel i den strategiska ramen för arbetsmiljön: </w:t>
      </w:r>
      <w:hyperlink r:id="rId1">
        <w:r>
          <w:rPr>
            <w:rStyle w:val="Hyperlnk"/>
            <w:sz w:val="18"/>
          </w:rPr>
          <w:t>http://www.europarl.europa.eu/sides/getDoc.do?pubRef=-//EP//TEXT+REPORT+A8-2015-0312+0+DOC+XML+V0//EN</w:t>
        </w:r>
      </w:hyperlink>
      <w:r>
        <w:rPr>
          <w:sz w:val="18"/>
        </w:rPr>
        <w:t xml:space="preserve"> </w:t>
      </w:r>
    </w:p>
    <w:p w14:paraId="0BD02605" w14:textId="77777777" w:rsidR="00DF72E2" w:rsidRPr="00D873B8" w:rsidRDefault="00DF72E2">
      <w:pPr>
        <w:pStyle w:val="Slutkommentar"/>
        <w:rPr>
          <w:sz w:val="18"/>
          <w:szCs w:val="18"/>
        </w:rPr>
      </w:pPr>
    </w:p>
  </w:endnote>
  <w:endnote w:id="2">
    <w:p w14:paraId="4B4F3E98" w14:textId="77777777" w:rsidR="00DF72E2" w:rsidRPr="00B84A0B" w:rsidRDefault="00DF72E2">
      <w:pPr>
        <w:pStyle w:val="Slutkommentar"/>
        <w:rPr>
          <w:sz w:val="18"/>
          <w:szCs w:val="18"/>
        </w:rPr>
      </w:pPr>
      <w:r>
        <w:rPr>
          <w:rStyle w:val="Slutkommentarsreferens"/>
          <w:sz w:val="18"/>
        </w:rPr>
        <w:endnoteRef/>
      </w:r>
      <w:r>
        <w:rPr>
          <w:sz w:val="18"/>
        </w:rPr>
        <w:t xml:space="preserve"> </w:t>
      </w:r>
      <w:proofErr w:type="spellStart"/>
      <w:r>
        <w:rPr>
          <w:sz w:val="18"/>
        </w:rPr>
        <w:t>European</w:t>
      </w:r>
      <w:proofErr w:type="spellEnd"/>
      <w:r>
        <w:rPr>
          <w:sz w:val="18"/>
        </w:rPr>
        <w:t xml:space="preserve"> </w:t>
      </w:r>
      <w:proofErr w:type="spellStart"/>
      <w:r>
        <w:rPr>
          <w:sz w:val="18"/>
        </w:rPr>
        <w:t>Biosafety</w:t>
      </w:r>
      <w:proofErr w:type="spellEnd"/>
      <w:r>
        <w:rPr>
          <w:sz w:val="18"/>
        </w:rPr>
        <w:t xml:space="preserve"> </w:t>
      </w:r>
      <w:proofErr w:type="spellStart"/>
      <w:r>
        <w:rPr>
          <w:sz w:val="18"/>
        </w:rPr>
        <w:t>Network</w:t>
      </w:r>
      <w:proofErr w:type="spellEnd"/>
      <w:r>
        <w:rPr>
          <w:sz w:val="18"/>
        </w:rPr>
        <w:t xml:space="preserve">. </w:t>
      </w:r>
      <w:hyperlink r:id="rId2">
        <w:r>
          <w:rPr>
            <w:rStyle w:val="Hyperlnk"/>
            <w:sz w:val="18"/>
          </w:rPr>
          <w:t>http://www.europeanbiosafetynetwork.eu/Exposure%20to%20Cytotoxic%20Drugs_Recommendation_DINA4_10-03-16.pdf</w:t>
        </w:r>
      </w:hyperlink>
      <w:r>
        <w:rPr>
          <w:sz w:val="18"/>
        </w:rPr>
        <w:t xml:space="preserve"> </w:t>
      </w:r>
    </w:p>
    <w:p w14:paraId="3A213093" w14:textId="77777777" w:rsidR="005B5001" w:rsidRPr="00D873B8" w:rsidRDefault="005B5001">
      <w:pPr>
        <w:pStyle w:val="Slutkommentar"/>
        <w:rPr>
          <w:sz w:val="18"/>
          <w:szCs w:val="18"/>
        </w:rPr>
      </w:pPr>
    </w:p>
  </w:endnote>
  <w:endnote w:id="3">
    <w:p w14:paraId="26514BB3" w14:textId="77777777" w:rsidR="00BA2B72" w:rsidRPr="00D873B8" w:rsidRDefault="00BA2B72" w:rsidP="00D873B8">
      <w:pPr>
        <w:autoSpaceDE w:val="0"/>
        <w:autoSpaceDN w:val="0"/>
        <w:adjustRightInd w:val="0"/>
        <w:spacing w:after="0" w:line="240" w:lineRule="auto"/>
        <w:rPr>
          <w:sz w:val="18"/>
          <w:szCs w:val="18"/>
        </w:rPr>
      </w:pPr>
      <w:r>
        <w:rPr>
          <w:rStyle w:val="Slutkommentarsreferens"/>
          <w:sz w:val="18"/>
        </w:rPr>
        <w:endnoteRef/>
      </w:r>
      <w:r>
        <w:rPr>
          <w:sz w:val="18"/>
        </w:rPr>
        <w:t xml:space="preserve"> EUROPAPARLAMENTETS OCH RÅDETS DIREKTIV 2004/37/EG av den 29 april 2004 om skydd för arbetstagare mot risker vid exponering för carcinogener eller mutagena ämnen i arbetet (sjätte särdirektivet enligt artikel 16.1 i rådets direktiv 89/391/EEG). Europeiska unionens officiella tidning 29.06.2004</w:t>
      </w:r>
    </w:p>
    <w:p w14:paraId="17D1D2C5" w14:textId="77777777" w:rsidR="00BA2B72" w:rsidRPr="00D873B8" w:rsidRDefault="001A5DFF" w:rsidP="00BA2B72">
      <w:pPr>
        <w:pStyle w:val="Slutkommentar"/>
        <w:rPr>
          <w:sz w:val="18"/>
          <w:szCs w:val="18"/>
        </w:rPr>
      </w:pPr>
      <w:hyperlink r:id="rId3">
        <w:r w:rsidR="00F26D13">
          <w:rPr>
            <w:rStyle w:val="Hyperlnk"/>
            <w:sz w:val="18"/>
          </w:rPr>
          <w:t>http://eur-lex.europa.eu/LexUriServ/LexUriServ.do?uri=OJ:L:2004:229:0023:0034:EN:PDF</w:t>
        </w:r>
      </w:hyperlink>
      <w:r w:rsidR="00F26D13">
        <w:rPr>
          <w:sz w:val="18"/>
        </w:rPr>
        <w:t xml:space="preserve"> </w:t>
      </w:r>
    </w:p>
    <w:p w14:paraId="678F80A4" w14:textId="77777777" w:rsidR="00BA2B72" w:rsidRPr="00D873B8" w:rsidRDefault="00BA2B72" w:rsidP="00BA2B72">
      <w:pPr>
        <w:pStyle w:val="Slutkommentar"/>
        <w:rPr>
          <w:sz w:val="18"/>
          <w:szCs w:val="18"/>
        </w:rPr>
      </w:pPr>
    </w:p>
  </w:endnote>
  <w:endnote w:id="4">
    <w:p w14:paraId="37B8EDFA" w14:textId="77F94681" w:rsidR="00895737" w:rsidRPr="00015A65" w:rsidRDefault="00895737">
      <w:pPr>
        <w:pStyle w:val="Slutkommentar"/>
        <w:rPr>
          <w:rFonts w:cs="EUAlbertina-Regu"/>
          <w:i/>
          <w:sz w:val="18"/>
        </w:rPr>
      </w:pPr>
      <w:r>
        <w:rPr>
          <w:rStyle w:val="Slutkommentarsreferens"/>
        </w:rPr>
        <w:endnoteRef/>
      </w:r>
      <w:r>
        <w:t xml:space="preserve"> </w:t>
      </w:r>
      <w:r>
        <w:rPr>
          <w:sz w:val="18"/>
        </w:rPr>
        <w:t xml:space="preserve">SIFO, </w:t>
      </w:r>
      <w:proofErr w:type="spellStart"/>
      <w:r>
        <w:rPr>
          <w:sz w:val="18"/>
        </w:rPr>
        <w:t>Technical</w:t>
      </w:r>
      <w:proofErr w:type="spellEnd"/>
      <w:r>
        <w:rPr>
          <w:sz w:val="18"/>
        </w:rPr>
        <w:t xml:space="preserve"> </w:t>
      </w:r>
      <w:proofErr w:type="spellStart"/>
      <w:r>
        <w:rPr>
          <w:sz w:val="18"/>
        </w:rPr>
        <w:t>Guidelines</w:t>
      </w:r>
      <w:proofErr w:type="spellEnd"/>
      <w:r>
        <w:rPr>
          <w:sz w:val="18"/>
        </w:rPr>
        <w:t xml:space="preserve">, </w:t>
      </w:r>
      <w:proofErr w:type="spellStart"/>
      <w:r>
        <w:rPr>
          <w:sz w:val="18"/>
        </w:rPr>
        <w:t>Protecting</w:t>
      </w:r>
      <w:proofErr w:type="spellEnd"/>
      <w:r>
        <w:rPr>
          <w:sz w:val="18"/>
        </w:rPr>
        <w:t xml:space="preserve"> </w:t>
      </w:r>
      <w:proofErr w:type="spellStart"/>
      <w:r>
        <w:rPr>
          <w:sz w:val="18"/>
        </w:rPr>
        <w:t>healthcare</w:t>
      </w:r>
      <w:proofErr w:type="spellEnd"/>
      <w:r>
        <w:rPr>
          <w:sz w:val="18"/>
        </w:rPr>
        <w:t xml:space="preserve"> </w:t>
      </w:r>
      <w:proofErr w:type="spellStart"/>
      <w:r>
        <w:rPr>
          <w:sz w:val="18"/>
        </w:rPr>
        <w:t>professionals</w:t>
      </w:r>
      <w:proofErr w:type="spellEnd"/>
      <w:r>
        <w:rPr>
          <w:sz w:val="18"/>
        </w:rPr>
        <w:t xml:space="preserve"> at risk </w:t>
      </w:r>
      <w:proofErr w:type="spellStart"/>
      <w:r>
        <w:rPr>
          <w:sz w:val="18"/>
        </w:rPr>
        <w:t>of</w:t>
      </w:r>
      <w:proofErr w:type="spellEnd"/>
      <w:r>
        <w:rPr>
          <w:sz w:val="18"/>
        </w:rPr>
        <w:t xml:space="preserve"> exposure </w:t>
      </w:r>
      <w:proofErr w:type="spellStart"/>
      <w:r>
        <w:rPr>
          <w:sz w:val="18"/>
        </w:rPr>
        <w:t>to</w:t>
      </w:r>
      <w:proofErr w:type="spellEnd"/>
      <w:r>
        <w:rPr>
          <w:sz w:val="18"/>
        </w:rPr>
        <w:t xml:space="preserve"> </w:t>
      </w:r>
      <w:proofErr w:type="spellStart"/>
      <w:r>
        <w:rPr>
          <w:sz w:val="18"/>
        </w:rPr>
        <w:t>antineoplastic</w:t>
      </w:r>
      <w:proofErr w:type="spellEnd"/>
      <w:r>
        <w:rPr>
          <w:sz w:val="18"/>
        </w:rPr>
        <w:t xml:space="preserve"> </w:t>
      </w:r>
      <w:proofErr w:type="spellStart"/>
      <w:r>
        <w:rPr>
          <w:sz w:val="18"/>
        </w:rPr>
        <w:t>drugs</w:t>
      </w:r>
      <w:proofErr w:type="spellEnd"/>
      <w:r>
        <w:rPr>
          <w:sz w:val="18"/>
        </w:rPr>
        <w:t>, oktober 2015</w:t>
      </w:r>
    </w:p>
    <w:p w14:paraId="10B48259" w14:textId="77777777" w:rsidR="00895737" w:rsidRDefault="00895737">
      <w:pPr>
        <w:pStyle w:val="Slutkommentar"/>
      </w:pPr>
    </w:p>
  </w:endnote>
  <w:endnote w:id="5">
    <w:p w14:paraId="4F729F58" w14:textId="77777777" w:rsidR="00B12F4D" w:rsidRPr="00CC2A60" w:rsidRDefault="00B12F4D" w:rsidP="00B12F4D">
      <w:pPr>
        <w:pStyle w:val="Slutkommentar"/>
        <w:rPr>
          <w:sz w:val="18"/>
          <w:szCs w:val="18"/>
          <w:lang w:val="es-ES"/>
        </w:rPr>
      </w:pPr>
      <w:r>
        <w:rPr>
          <w:rStyle w:val="Slutkommentarsreferens"/>
        </w:rPr>
        <w:endnoteRef/>
      </w:r>
      <w:r>
        <w:t xml:space="preserve"> </w:t>
      </w:r>
      <w:r>
        <w:rPr>
          <w:rStyle w:val="element-citation"/>
          <w:sz w:val="18"/>
        </w:rPr>
        <w:t xml:space="preserve">National </w:t>
      </w:r>
      <w:proofErr w:type="spellStart"/>
      <w:r>
        <w:rPr>
          <w:rStyle w:val="element-citation"/>
          <w:sz w:val="18"/>
        </w:rPr>
        <w:t>Institute</w:t>
      </w:r>
      <w:proofErr w:type="spellEnd"/>
      <w:r>
        <w:rPr>
          <w:rStyle w:val="element-citation"/>
          <w:sz w:val="18"/>
        </w:rPr>
        <w:t xml:space="preserve"> for </w:t>
      </w:r>
      <w:proofErr w:type="spellStart"/>
      <w:r>
        <w:rPr>
          <w:rStyle w:val="element-citation"/>
          <w:sz w:val="18"/>
        </w:rPr>
        <w:t>Occupational</w:t>
      </w:r>
      <w:proofErr w:type="spellEnd"/>
      <w:r>
        <w:rPr>
          <w:rStyle w:val="element-citation"/>
          <w:sz w:val="18"/>
        </w:rPr>
        <w:t xml:space="preserve"> </w:t>
      </w:r>
      <w:proofErr w:type="spellStart"/>
      <w:r>
        <w:rPr>
          <w:rStyle w:val="element-citation"/>
          <w:sz w:val="18"/>
        </w:rPr>
        <w:t>Safety</w:t>
      </w:r>
      <w:proofErr w:type="spellEnd"/>
      <w:r>
        <w:rPr>
          <w:rStyle w:val="element-citation"/>
          <w:sz w:val="18"/>
        </w:rPr>
        <w:t xml:space="preserve"> and Health (</w:t>
      </w:r>
      <w:proofErr w:type="spellStart"/>
      <w:r>
        <w:rPr>
          <w:rStyle w:val="element-citation"/>
          <w:sz w:val="18"/>
        </w:rPr>
        <w:t>NIOSH</w:t>
      </w:r>
      <w:proofErr w:type="spellEnd"/>
      <w:r>
        <w:rPr>
          <w:rStyle w:val="element-citation"/>
          <w:sz w:val="18"/>
        </w:rPr>
        <w:t xml:space="preserve">) </w:t>
      </w:r>
      <w:proofErr w:type="spellStart"/>
      <w:r>
        <w:rPr>
          <w:rStyle w:val="ref-journal"/>
          <w:sz w:val="18"/>
        </w:rPr>
        <w:t>NIOSH</w:t>
      </w:r>
      <w:proofErr w:type="spellEnd"/>
      <w:r>
        <w:rPr>
          <w:rStyle w:val="ref-journal"/>
          <w:sz w:val="18"/>
        </w:rPr>
        <w:t xml:space="preserve"> alert 2004-165. </w:t>
      </w:r>
      <w:proofErr w:type="spellStart"/>
      <w:r>
        <w:rPr>
          <w:rStyle w:val="ref-journal"/>
          <w:sz w:val="18"/>
        </w:rPr>
        <w:t>Preventing</w:t>
      </w:r>
      <w:proofErr w:type="spellEnd"/>
      <w:r>
        <w:rPr>
          <w:rStyle w:val="ref-journal"/>
          <w:sz w:val="18"/>
        </w:rPr>
        <w:t xml:space="preserve"> </w:t>
      </w:r>
      <w:proofErr w:type="spellStart"/>
      <w:r>
        <w:rPr>
          <w:rStyle w:val="ref-journal"/>
          <w:sz w:val="18"/>
        </w:rPr>
        <w:t>occupational</w:t>
      </w:r>
      <w:proofErr w:type="spellEnd"/>
      <w:r>
        <w:rPr>
          <w:rStyle w:val="ref-journal"/>
          <w:sz w:val="18"/>
        </w:rPr>
        <w:t xml:space="preserve"> exposures </w:t>
      </w:r>
      <w:proofErr w:type="spellStart"/>
      <w:r>
        <w:rPr>
          <w:rStyle w:val="ref-journal"/>
          <w:sz w:val="18"/>
        </w:rPr>
        <w:t>to</w:t>
      </w:r>
      <w:proofErr w:type="spellEnd"/>
      <w:r>
        <w:rPr>
          <w:rStyle w:val="ref-journal"/>
          <w:sz w:val="18"/>
        </w:rPr>
        <w:t xml:space="preserve"> </w:t>
      </w:r>
      <w:proofErr w:type="spellStart"/>
      <w:r>
        <w:rPr>
          <w:rStyle w:val="ref-journal"/>
          <w:sz w:val="18"/>
        </w:rPr>
        <w:t>antineoplastic</w:t>
      </w:r>
      <w:proofErr w:type="spellEnd"/>
      <w:r>
        <w:rPr>
          <w:rStyle w:val="ref-journal"/>
          <w:sz w:val="18"/>
        </w:rPr>
        <w:t xml:space="preserve"> and </w:t>
      </w:r>
      <w:proofErr w:type="spellStart"/>
      <w:r>
        <w:rPr>
          <w:rStyle w:val="ref-journal"/>
          <w:sz w:val="18"/>
        </w:rPr>
        <w:t>other</w:t>
      </w:r>
      <w:proofErr w:type="spellEnd"/>
      <w:r>
        <w:rPr>
          <w:rStyle w:val="ref-journal"/>
          <w:sz w:val="18"/>
        </w:rPr>
        <w:t xml:space="preserve"> </w:t>
      </w:r>
      <w:proofErr w:type="spellStart"/>
      <w:r>
        <w:rPr>
          <w:rStyle w:val="ref-journal"/>
          <w:sz w:val="18"/>
        </w:rPr>
        <w:t>hazardous</w:t>
      </w:r>
      <w:proofErr w:type="spellEnd"/>
      <w:r>
        <w:rPr>
          <w:rStyle w:val="ref-journal"/>
          <w:sz w:val="18"/>
        </w:rPr>
        <w:t xml:space="preserve"> </w:t>
      </w:r>
      <w:proofErr w:type="spellStart"/>
      <w:r>
        <w:rPr>
          <w:rStyle w:val="ref-journal"/>
          <w:sz w:val="18"/>
        </w:rPr>
        <w:t>drugs</w:t>
      </w:r>
      <w:proofErr w:type="spellEnd"/>
      <w:r>
        <w:rPr>
          <w:rStyle w:val="ref-journal"/>
          <w:sz w:val="18"/>
        </w:rPr>
        <w:t xml:space="preserve"> in </w:t>
      </w:r>
      <w:proofErr w:type="spellStart"/>
      <w:r>
        <w:rPr>
          <w:rStyle w:val="ref-journal"/>
          <w:sz w:val="18"/>
        </w:rPr>
        <w:t>health</w:t>
      </w:r>
      <w:proofErr w:type="spellEnd"/>
      <w:r>
        <w:rPr>
          <w:rStyle w:val="ref-journal"/>
          <w:sz w:val="18"/>
        </w:rPr>
        <w:t xml:space="preserve"> </w:t>
      </w:r>
      <w:proofErr w:type="spellStart"/>
      <w:r>
        <w:rPr>
          <w:rStyle w:val="ref-journal"/>
          <w:sz w:val="18"/>
        </w:rPr>
        <w:t>care</w:t>
      </w:r>
      <w:proofErr w:type="spellEnd"/>
      <w:r>
        <w:rPr>
          <w:rStyle w:val="ref-journal"/>
          <w:sz w:val="18"/>
        </w:rPr>
        <w:t xml:space="preserve"> </w:t>
      </w:r>
      <w:proofErr w:type="spellStart"/>
      <w:r>
        <w:rPr>
          <w:rStyle w:val="ref-journal"/>
          <w:sz w:val="18"/>
        </w:rPr>
        <w:t>settings</w:t>
      </w:r>
      <w:proofErr w:type="spellEnd"/>
      <w:r>
        <w:rPr>
          <w:rStyle w:val="ref-journal"/>
          <w:sz w:val="18"/>
        </w:rPr>
        <w:t>.</w:t>
      </w:r>
      <w:r>
        <w:rPr>
          <w:rStyle w:val="element-citation"/>
          <w:sz w:val="18"/>
        </w:rPr>
        <w:t xml:space="preserve"> Cincinnati, OH: </w:t>
      </w:r>
      <w:proofErr w:type="spellStart"/>
      <w:r>
        <w:rPr>
          <w:rStyle w:val="element-citation"/>
          <w:sz w:val="18"/>
        </w:rPr>
        <w:t>NIOSH</w:t>
      </w:r>
      <w:proofErr w:type="spellEnd"/>
      <w:r>
        <w:rPr>
          <w:rStyle w:val="element-citation"/>
          <w:sz w:val="18"/>
        </w:rPr>
        <w:t xml:space="preserve">; 2004. </w:t>
      </w:r>
      <w:hyperlink r:id="rId4">
        <w:r>
          <w:rPr>
            <w:rStyle w:val="Hyperlnk"/>
            <w:sz w:val="18"/>
          </w:rPr>
          <w:t>http://www.cdc.gov/niosh/docs/2004-165/pdfs/2004-165.pdf</w:t>
        </w:r>
      </w:hyperlink>
      <w:r>
        <w:rPr>
          <w:rStyle w:val="element-citation"/>
          <w:sz w:val="18"/>
        </w:rPr>
        <w:t>. Hämtad den 15 mars 2009.</w:t>
      </w:r>
    </w:p>
    <w:p w14:paraId="7B57C4DD" w14:textId="77777777" w:rsidR="00B12F4D" w:rsidRPr="00CC2A60" w:rsidRDefault="00B12F4D" w:rsidP="00B12F4D">
      <w:pPr>
        <w:pStyle w:val="Slutkommentar"/>
        <w:rPr>
          <w:lang w:val="es-ES"/>
        </w:rPr>
      </w:pPr>
    </w:p>
  </w:endnote>
  <w:endnote w:id="6">
    <w:p w14:paraId="074712CF" w14:textId="77777777" w:rsidR="0055244B" w:rsidRPr="00E45FDC" w:rsidRDefault="0055244B" w:rsidP="0055244B">
      <w:pPr>
        <w:pStyle w:val="Slutkommentar"/>
        <w:rPr>
          <w:lang w:val="es-ES"/>
        </w:rPr>
      </w:pPr>
      <w:r>
        <w:rPr>
          <w:rStyle w:val="Slutkommentarsreferens"/>
          <w:sz w:val="18"/>
        </w:rPr>
        <w:endnoteRef/>
      </w:r>
      <w:r>
        <w:rPr>
          <w:sz w:val="18"/>
        </w:rPr>
        <w:t xml:space="preserve"> </w:t>
      </w:r>
      <w:proofErr w:type="spellStart"/>
      <w:r>
        <w:rPr>
          <w:sz w:val="18"/>
        </w:rPr>
        <w:t>Instituto</w:t>
      </w:r>
      <w:proofErr w:type="spellEnd"/>
      <w:r>
        <w:rPr>
          <w:sz w:val="18"/>
        </w:rPr>
        <w:t xml:space="preserve"> </w:t>
      </w:r>
      <w:proofErr w:type="spellStart"/>
      <w:r>
        <w:rPr>
          <w:sz w:val="18"/>
        </w:rPr>
        <w:t>Nacional</w:t>
      </w:r>
      <w:proofErr w:type="spellEnd"/>
      <w:r>
        <w:rPr>
          <w:sz w:val="18"/>
        </w:rPr>
        <w:t xml:space="preserve"> de </w:t>
      </w:r>
      <w:proofErr w:type="spellStart"/>
      <w:r>
        <w:rPr>
          <w:sz w:val="18"/>
        </w:rPr>
        <w:t>Seguridad</w:t>
      </w:r>
      <w:proofErr w:type="spellEnd"/>
      <w:r>
        <w:rPr>
          <w:sz w:val="18"/>
        </w:rPr>
        <w:t xml:space="preserve"> e </w:t>
      </w:r>
      <w:proofErr w:type="spellStart"/>
      <w:r>
        <w:rPr>
          <w:sz w:val="18"/>
        </w:rPr>
        <w:t>Higiene</w:t>
      </w:r>
      <w:proofErr w:type="spellEnd"/>
      <w:r>
        <w:rPr>
          <w:sz w:val="18"/>
        </w:rPr>
        <w:t xml:space="preserve"> en el </w:t>
      </w:r>
      <w:proofErr w:type="spellStart"/>
      <w:r>
        <w:rPr>
          <w:sz w:val="18"/>
        </w:rPr>
        <w:t>Trabajo</w:t>
      </w:r>
      <w:proofErr w:type="spellEnd"/>
      <w:r>
        <w:rPr>
          <w:sz w:val="18"/>
        </w:rPr>
        <w:t xml:space="preserve">, NTP 1051, 2015: </w:t>
      </w:r>
      <w:hyperlink r:id="rId5">
        <w:r>
          <w:rPr>
            <w:rStyle w:val="Hyperlnk"/>
            <w:sz w:val="18"/>
          </w:rPr>
          <w:t>http://www.insht.es/InshtWeb/Contenidos/Documentacion/NTP/NTP/Ficheros/1043a1054/ntp-1051w.pdf</w:t>
        </w:r>
      </w:hyperlink>
      <w:r>
        <w:rPr>
          <w:color w:val="1F497D"/>
          <w:sz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4BF6A" w14:textId="77777777" w:rsidR="00EE17CE" w:rsidRDefault="00EE17CE" w:rsidP="0020679A">
      <w:pPr>
        <w:spacing w:after="0" w:line="240" w:lineRule="auto"/>
      </w:pPr>
      <w:r>
        <w:separator/>
      </w:r>
    </w:p>
  </w:footnote>
  <w:footnote w:type="continuationSeparator" w:id="0">
    <w:p w14:paraId="45FBA72E" w14:textId="77777777" w:rsidR="00EE17CE" w:rsidRDefault="00EE17CE" w:rsidP="00206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95"/>
    <w:rsid w:val="00015A65"/>
    <w:rsid w:val="000623EC"/>
    <w:rsid w:val="0009646A"/>
    <w:rsid w:val="001063D5"/>
    <w:rsid w:val="001366BE"/>
    <w:rsid w:val="00136A10"/>
    <w:rsid w:val="001675F5"/>
    <w:rsid w:val="001A5DFF"/>
    <w:rsid w:val="001C5255"/>
    <w:rsid w:val="001D3BBE"/>
    <w:rsid w:val="001D7417"/>
    <w:rsid w:val="001E189A"/>
    <w:rsid w:val="001F0F85"/>
    <w:rsid w:val="0020679A"/>
    <w:rsid w:val="0021306E"/>
    <w:rsid w:val="002D11C4"/>
    <w:rsid w:val="002D254C"/>
    <w:rsid w:val="00306288"/>
    <w:rsid w:val="003070E2"/>
    <w:rsid w:val="0031094A"/>
    <w:rsid w:val="00315CE8"/>
    <w:rsid w:val="00325906"/>
    <w:rsid w:val="003D7996"/>
    <w:rsid w:val="004514D8"/>
    <w:rsid w:val="00475CA1"/>
    <w:rsid w:val="004B124D"/>
    <w:rsid w:val="004C4559"/>
    <w:rsid w:val="004E66E3"/>
    <w:rsid w:val="00541BB1"/>
    <w:rsid w:val="0055244B"/>
    <w:rsid w:val="00573B02"/>
    <w:rsid w:val="005B5001"/>
    <w:rsid w:val="0069481C"/>
    <w:rsid w:val="006D5B23"/>
    <w:rsid w:val="00756FA9"/>
    <w:rsid w:val="00775BC0"/>
    <w:rsid w:val="007F14B9"/>
    <w:rsid w:val="008108B1"/>
    <w:rsid w:val="0085584B"/>
    <w:rsid w:val="0086341E"/>
    <w:rsid w:val="00865BC9"/>
    <w:rsid w:val="00895737"/>
    <w:rsid w:val="008F07EA"/>
    <w:rsid w:val="009629AC"/>
    <w:rsid w:val="009E7A81"/>
    <w:rsid w:val="00A50818"/>
    <w:rsid w:val="00A71F38"/>
    <w:rsid w:val="00AD5122"/>
    <w:rsid w:val="00AE61D3"/>
    <w:rsid w:val="00B12F4D"/>
    <w:rsid w:val="00B84A0B"/>
    <w:rsid w:val="00BA1437"/>
    <w:rsid w:val="00BA2B72"/>
    <w:rsid w:val="00C407DD"/>
    <w:rsid w:val="00C64020"/>
    <w:rsid w:val="00C762D2"/>
    <w:rsid w:val="00CC2A60"/>
    <w:rsid w:val="00D129D5"/>
    <w:rsid w:val="00D279C6"/>
    <w:rsid w:val="00D873B8"/>
    <w:rsid w:val="00DE2D93"/>
    <w:rsid w:val="00DF72E2"/>
    <w:rsid w:val="00E40195"/>
    <w:rsid w:val="00E45FDC"/>
    <w:rsid w:val="00E5663F"/>
    <w:rsid w:val="00E85C58"/>
    <w:rsid w:val="00EE17CE"/>
    <w:rsid w:val="00EE30C8"/>
    <w:rsid w:val="00EF035A"/>
    <w:rsid w:val="00F00846"/>
    <w:rsid w:val="00F26D13"/>
    <w:rsid w:val="00F41AAD"/>
    <w:rsid w:val="00F726F9"/>
    <w:rsid w:val="00F83121"/>
    <w:rsid w:val="00FA405B"/>
    <w:rsid w:val="00FA72C1"/>
    <w:rsid w:val="6185F5B5"/>
    <w:rsid w:val="7FBF54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C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lutkommentar">
    <w:name w:val="endnote text"/>
    <w:basedOn w:val="Normal"/>
    <w:link w:val="SlutkommentarChar"/>
    <w:uiPriority w:val="99"/>
    <w:semiHidden/>
    <w:unhideWhenUsed/>
    <w:rsid w:val="0020679A"/>
    <w:pPr>
      <w:spacing w:after="0" w:line="240" w:lineRule="auto"/>
    </w:pPr>
    <w:rPr>
      <w:sz w:val="20"/>
      <w:szCs w:val="20"/>
    </w:rPr>
  </w:style>
  <w:style w:type="character" w:customStyle="1" w:styleId="SlutkommentarChar">
    <w:name w:val="Slutkommentar Char"/>
    <w:basedOn w:val="Standardstycketypsnitt"/>
    <w:link w:val="Slutkommentar"/>
    <w:uiPriority w:val="99"/>
    <w:semiHidden/>
    <w:rsid w:val="0020679A"/>
    <w:rPr>
      <w:sz w:val="20"/>
      <w:szCs w:val="20"/>
    </w:rPr>
  </w:style>
  <w:style w:type="character" w:styleId="Slutkommentarsreferens">
    <w:name w:val="endnote reference"/>
    <w:basedOn w:val="Standardstycketypsnitt"/>
    <w:uiPriority w:val="99"/>
    <w:semiHidden/>
    <w:unhideWhenUsed/>
    <w:rsid w:val="0020679A"/>
    <w:rPr>
      <w:vertAlign w:val="superscript"/>
    </w:rPr>
  </w:style>
  <w:style w:type="paragraph" w:styleId="Fotnotstext">
    <w:name w:val="footnote text"/>
    <w:basedOn w:val="Normal"/>
    <w:link w:val="FotnotstextChar"/>
    <w:uiPriority w:val="99"/>
    <w:semiHidden/>
    <w:unhideWhenUsed/>
    <w:rsid w:val="00865BC9"/>
    <w:pPr>
      <w:spacing w:after="0" w:line="240" w:lineRule="auto"/>
    </w:pPr>
    <w:rPr>
      <w:sz w:val="20"/>
      <w:szCs w:val="20"/>
    </w:rPr>
  </w:style>
  <w:style w:type="character" w:customStyle="1" w:styleId="FotnotstextChar">
    <w:name w:val="Fotnotstext Char"/>
    <w:basedOn w:val="Standardstycketypsnitt"/>
    <w:link w:val="Fotnotstext"/>
    <w:uiPriority w:val="99"/>
    <w:semiHidden/>
    <w:rsid w:val="00865BC9"/>
    <w:rPr>
      <w:sz w:val="20"/>
      <w:szCs w:val="20"/>
    </w:rPr>
  </w:style>
  <w:style w:type="character" w:styleId="Fotnotsreferens">
    <w:name w:val="footnote reference"/>
    <w:basedOn w:val="Standardstycketypsnitt"/>
    <w:uiPriority w:val="99"/>
    <w:semiHidden/>
    <w:unhideWhenUsed/>
    <w:rsid w:val="00865BC9"/>
    <w:rPr>
      <w:vertAlign w:val="superscript"/>
    </w:rPr>
  </w:style>
  <w:style w:type="character" w:styleId="Hyperlnk">
    <w:name w:val="Hyperlink"/>
    <w:basedOn w:val="Standardstycketypsnitt"/>
    <w:uiPriority w:val="99"/>
    <w:unhideWhenUsed/>
    <w:rsid w:val="00865BC9"/>
    <w:rPr>
      <w:color w:val="0000FF" w:themeColor="hyperlink"/>
      <w:u w:val="single"/>
    </w:rPr>
  </w:style>
  <w:style w:type="paragraph" w:styleId="Sidhuvud">
    <w:name w:val="header"/>
    <w:basedOn w:val="Normal"/>
    <w:link w:val="SidhuvudChar"/>
    <w:uiPriority w:val="99"/>
    <w:unhideWhenUsed/>
    <w:rsid w:val="00C762D2"/>
    <w:pPr>
      <w:tabs>
        <w:tab w:val="center" w:pos="4513"/>
        <w:tab w:val="right" w:pos="9026"/>
      </w:tabs>
      <w:spacing w:after="0" w:line="240" w:lineRule="auto"/>
    </w:pPr>
  </w:style>
  <w:style w:type="character" w:customStyle="1" w:styleId="SidhuvudChar">
    <w:name w:val="Sidhuvud Char"/>
    <w:basedOn w:val="Standardstycketypsnitt"/>
    <w:link w:val="Sidhuvud"/>
    <w:uiPriority w:val="99"/>
    <w:rsid w:val="00C762D2"/>
  </w:style>
  <w:style w:type="paragraph" w:styleId="Sidfot">
    <w:name w:val="footer"/>
    <w:basedOn w:val="Normal"/>
    <w:link w:val="SidfotChar"/>
    <w:uiPriority w:val="99"/>
    <w:unhideWhenUsed/>
    <w:rsid w:val="00C762D2"/>
    <w:pPr>
      <w:tabs>
        <w:tab w:val="center" w:pos="4513"/>
        <w:tab w:val="right" w:pos="9026"/>
      </w:tabs>
      <w:spacing w:after="0" w:line="240" w:lineRule="auto"/>
    </w:pPr>
  </w:style>
  <w:style w:type="character" w:customStyle="1" w:styleId="SidfotChar">
    <w:name w:val="Sidfot Char"/>
    <w:basedOn w:val="Standardstycketypsnitt"/>
    <w:link w:val="Sidfot"/>
    <w:uiPriority w:val="99"/>
    <w:rsid w:val="00C762D2"/>
  </w:style>
  <w:style w:type="paragraph" w:styleId="Bubbeltext">
    <w:name w:val="Balloon Text"/>
    <w:basedOn w:val="Normal"/>
    <w:link w:val="BubbeltextChar"/>
    <w:uiPriority w:val="99"/>
    <w:semiHidden/>
    <w:unhideWhenUsed/>
    <w:rsid w:val="00DF72E2"/>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DF72E2"/>
    <w:rPr>
      <w:rFonts w:ascii="Tahoma" w:hAnsi="Tahoma" w:cs="Tahoma"/>
      <w:sz w:val="16"/>
      <w:szCs w:val="16"/>
    </w:rPr>
  </w:style>
  <w:style w:type="paragraph" w:customStyle="1" w:styleId="Default">
    <w:name w:val="Default"/>
    <w:rsid w:val="002D254C"/>
    <w:pPr>
      <w:autoSpaceDE w:val="0"/>
      <w:autoSpaceDN w:val="0"/>
      <w:adjustRightInd w:val="0"/>
      <w:spacing w:after="0" w:line="240" w:lineRule="auto"/>
    </w:pPr>
    <w:rPr>
      <w:rFonts w:ascii="Calibri" w:hAnsi="Calibri" w:cs="Calibri"/>
      <w:color w:val="000000"/>
      <w:sz w:val="24"/>
      <w:szCs w:val="24"/>
    </w:rPr>
  </w:style>
  <w:style w:type="character" w:styleId="Kommentarsreferens">
    <w:name w:val="annotation reference"/>
    <w:basedOn w:val="Standardstycketypsnitt"/>
    <w:uiPriority w:val="99"/>
    <w:semiHidden/>
    <w:unhideWhenUsed/>
    <w:rsid w:val="008F07EA"/>
    <w:rPr>
      <w:sz w:val="16"/>
      <w:szCs w:val="16"/>
    </w:rPr>
  </w:style>
  <w:style w:type="paragraph" w:styleId="Kommentarer">
    <w:name w:val="annotation text"/>
    <w:basedOn w:val="Normal"/>
    <w:link w:val="KommentarerChar"/>
    <w:uiPriority w:val="99"/>
    <w:semiHidden/>
    <w:unhideWhenUsed/>
    <w:rsid w:val="008F07EA"/>
    <w:pPr>
      <w:spacing w:line="240" w:lineRule="auto"/>
    </w:pPr>
    <w:rPr>
      <w:sz w:val="20"/>
      <w:szCs w:val="20"/>
    </w:rPr>
  </w:style>
  <w:style w:type="character" w:customStyle="1" w:styleId="KommentarerChar">
    <w:name w:val="Kommentarer Char"/>
    <w:basedOn w:val="Standardstycketypsnitt"/>
    <w:link w:val="Kommentarer"/>
    <w:uiPriority w:val="99"/>
    <w:semiHidden/>
    <w:rsid w:val="008F07EA"/>
    <w:rPr>
      <w:sz w:val="20"/>
      <w:szCs w:val="20"/>
    </w:rPr>
  </w:style>
  <w:style w:type="paragraph" w:styleId="Kommentarsmne">
    <w:name w:val="annotation subject"/>
    <w:basedOn w:val="Kommentarer"/>
    <w:next w:val="Kommentarer"/>
    <w:link w:val="KommentarsmneChar"/>
    <w:uiPriority w:val="99"/>
    <w:semiHidden/>
    <w:unhideWhenUsed/>
    <w:rsid w:val="008F07EA"/>
    <w:rPr>
      <w:b/>
      <w:bCs/>
    </w:rPr>
  </w:style>
  <w:style w:type="character" w:customStyle="1" w:styleId="KommentarsmneChar">
    <w:name w:val="Kommentarsämne Char"/>
    <w:basedOn w:val="KommentarerChar"/>
    <w:link w:val="Kommentarsmne"/>
    <w:uiPriority w:val="99"/>
    <w:semiHidden/>
    <w:rsid w:val="008F07EA"/>
    <w:rPr>
      <w:b/>
      <w:bCs/>
      <w:sz w:val="20"/>
      <w:szCs w:val="20"/>
    </w:rPr>
  </w:style>
  <w:style w:type="paragraph" w:styleId="Revision">
    <w:name w:val="Revision"/>
    <w:hidden/>
    <w:uiPriority w:val="99"/>
    <w:semiHidden/>
    <w:rsid w:val="008F07EA"/>
    <w:pPr>
      <w:spacing w:after="0" w:line="240" w:lineRule="auto"/>
    </w:pPr>
  </w:style>
  <w:style w:type="character" w:customStyle="1" w:styleId="element-citation">
    <w:name w:val="element-citation"/>
    <w:basedOn w:val="Standardstycketypsnitt"/>
    <w:rsid w:val="00B12F4D"/>
  </w:style>
  <w:style w:type="character" w:customStyle="1" w:styleId="ref-journal">
    <w:name w:val="ref-journal"/>
    <w:basedOn w:val="Standardstycketypsnitt"/>
    <w:rsid w:val="00B12F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lutkommentar">
    <w:name w:val="endnote text"/>
    <w:basedOn w:val="Normal"/>
    <w:link w:val="SlutkommentarChar"/>
    <w:uiPriority w:val="99"/>
    <w:semiHidden/>
    <w:unhideWhenUsed/>
    <w:rsid w:val="0020679A"/>
    <w:pPr>
      <w:spacing w:after="0" w:line="240" w:lineRule="auto"/>
    </w:pPr>
    <w:rPr>
      <w:sz w:val="20"/>
      <w:szCs w:val="20"/>
    </w:rPr>
  </w:style>
  <w:style w:type="character" w:customStyle="1" w:styleId="SlutkommentarChar">
    <w:name w:val="Slutkommentar Char"/>
    <w:basedOn w:val="Standardstycketypsnitt"/>
    <w:link w:val="Slutkommentar"/>
    <w:uiPriority w:val="99"/>
    <w:semiHidden/>
    <w:rsid w:val="0020679A"/>
    <w:rPr>
      <w:sz w:val="20"/>
      <w:szCs w:val="20"/>
    </w:rPr>
  </w:style>
  <w:style w:type="character" w:styleId="Slutkommentarsreferens">
    <w:name w:val="endnote reference"/>
    <w:basedOn w:val="Standardstycketypsnitt"/>
    <w:uiPriority w:val="99"/>
    <w:semiHidden/>
    <w:unhideWhenUsed/>
    <w:rsid w:val="0020679A"/>
    <w:rPr>
      <w:vertAlign w:val="superscript"/>
    </w:rPr>
  </w:style>
  <w:style w:type="paragraph" w:styleId="Fotnotstext">
    <w:name w:val="footnote text"/>
    <w:basedOn w:val="Normal"/>
    <w:link w:val="FotnotstextChar"/>
    <w:uiPriority w:val="99"/>
    <w:semiHidden/>
    <w:unhideWhenUsed/>
    <w:rsid w:val="00865BC9"/>
    <w:pPr>
      <w:spacing w:after="0" w:line="240" w:lineRule="auto"/>
    </w:pPr>
    <w:rPr>
      <w:sz w:val="20"/>
      <w:szCs w:val="20"/>
    </w:rPr>
  </w:style>
  <w:style w:type="character" w:customStyle="1" w:styleId="FotnotstextChar">
    <w:name w:val="Fotnotstext Char"/>
    <w:basedOn w:val="Standardstycketypsnitt"/>
    <w:link w:val="Fotnotstext"/>
    <w:uiPriority w:val="99"/>
    <w:semiHidden/>
    <w:rsid w:val="00865BC9"/>
    <w:rPr>
      <w:sz w:val="20"/>
      <w:szCs w:val="20"/>
    </w:rPr>
  </w:style>
  <w:style w:type="character" w:styleId="Fotnotsreferens">
    <w:name w:val="footnote reference"/>
    <w:basedOn w:val="Standardstycketypsnitt"/>
    <w:uiPriority w:val="99"/>
    <w:semiHidden/>
    <w:unhideWhenUsed/>
    <w:rsid w:val="00865BC9"/>
    <w:rPr>
      <w:vertAlign w:val="superscript"/>
    </w:rPr>
  </w:style>
  <w:style w:type="character" w:styleId="Hyperlnk">
    <w:name w:val="Hyperlink"/>
    <w:basedOn w:val="Standardstycketypsnitt"/>
    <w:uiPriority w:val="99"/>
    <w:unhideWhenUsed/>
    <w:rsid w:val="00865BC9"/>
    <w:rPr>
      <w:color w:val="0000FF" w:themeColor="hyperlink"/>
      <w:u w:val="single"/>
    </w:rPr>
  </w:style>
  <w:style w:type="paragraph" w:styleId="Sidhuvud">
    <w:name w:val="header"/>
    <w:basedOn w:val="Normal"/>
    <w:link w:val="SidhuvudChar"/>
    <w:uiPriority w:val="99"/>
    <w:unhideWhenUsed/>
    <w:rsid w:val="00C762D2"/>
    <w:pPr>
      <w:tabs>
        <w:tab w:val="center" w:pos="4513"/>
        <w:tab w:val="right" w:pos="9026"/>
      </w:tabs>
      <w:spacing w:after="0" w:line="240" w:lineRule="auto"/>
    </w:pPr>
  </w:style>
  <w:style w:type="character" w:customStyle="1" w:styleId="SidhuvudChar">
    <w:name w:val="Sidhuvud Char"/>
    <w:basedOn w:val="Standardstycketypsnitt"/>
    <w:link w:val="Sidhuvud"/>
    <w:uiPriority w:val="99"/>
    <w:rsid w:val="00C762D2"/>
  </w:style>
  <w:style w:type="paragraph" w:styleId="Sidfot">
    <w:name w:val="footer"/>
    <w:basedOn w:val="Normal"/>
    <w:link w:val="SidfotChar"/>
    <w:uiPriority w:val="99"/>
    <w:unhideWhenUsed/>
    <w:rsid w:val="00C762D2"/>
    <w:pPr>
      <w:tabs>
        <w:tab w:val="center" w:pos="4513"/>
        <w:tab w:val="right" w:pos="9026"/>
      </w:tabs>
      <w:spacing w:after="0" w:line="240" w:lineRule="auto"/>
    </w:pPr>
  </w:style>
  <w:style w:type="character" w:customStyle="1" w:styleId="SidfotChar">
    <w:name w:val="Sidfot Char"/>
    <w:basedOn w:val="Standardstycketypsnitt"/>
    <w:link w:val="Sidfot"/>
    <w:uiPriority w:val="99"/>
    <w:rsid w:val="00C762D2"/>
  </w:style>
  <w:style w:type="paragraph" w:styleId="Bubbeltext">
    <w:name w:val="Balloon Text"/>
    <w:basedOn w:val="Normal"/>
    <w:link w:val="BubbeltextChar"/>
    <w:uiPriority w:val="99"/>
    <w:semiHidden/>
    <w:unhideWhenUsed/>
    <w:rsid w:val="00DF72E2"/>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DF72E2"/>
    <w:rPr>
      <w:rFonts w:ascii="Tahoma" w:hAnsi="Tahoma" w:cs="Tahoma"/>
      <w:sz w:val="16"/>
      <w:szCs w:val="16"/>
    </w:rPr>
  </w:style>
  <w:style w:type="paragraph" w:customStyle="1" w:styleId="Default">
    <w:name w:val="Default"/>
    <w:rsid w:val="002D254C"/>
    <w:pPr>
      <w:autoSpaceDE w:val="0"/>
      <w:autoSpaceDN w:val="0"/>
      <w:adjustRightInd w:val="0"/>
      <w:spacing w:after="0" w:line="240" w:lineRule="auto"/>
    </w:pPr>
    <w:rPr>
      <w:rFonts w:ascii="Calibri" w:hAnsi="Calibri" w:cs="Calibri"/>
      <w:color w:val="000000"/>
      <w:sz w:val="24"/>
      <w:szCs w:val="24"/>
    </w:rPr>
  </w:style>
  <w:style w:type="character" w:styleId="Kommentarsreferens">
    <w:name w:val="annotation reference"/>
    <w:basedOn w:val="Standardstycketypsnitt"/>
    <w:uiPriority w:val="99"/>
    <w:semiHidden/>
    <w:unhideWhenUsed/>
    <w:rsid w:val="008F07EA"/>
    <w:rPr>
      <w:sz w:val="16"/>
      <w:szCs w:val="16"/>
    </w:rPr>
  </w:style>
  <w:style w:type="paragraph" w:styleId="Kommentarer">
    <w:name w:val="annotation text"/>
    <w:basedOn w:val="Normal"/>
    <w:link w:val="KommentarerChar"/>
    <w:uiPriority w:val="99"/>
    <w:semiHidden/>
    <w:unhideWhenUsed/>
    <w:rsid w:val="008F07EA"/>
    <w:pPr>
      <w:spacing w:line="240" w:lineRule="auto"/>
    </w:pPr>
    <w:rPr>
      <w:sz w:val="20"/>
      <w:szCs w:val="20"/>
    </w:rPr>
  </w:style>
  <w:style w:type="character" w:customStyle="1" w:styleId="KommentarerChar">
    <w:name w:val="Kommentarer Char"/>
    <w:basedOn w:val="Standardstycketypsnitt"/>
    <w:link w:val="Kommentarer"/>
    <w:uiPriority w:val="99"/>
    <w:semiHidden/>
    <w:rsid w:val="008F07EA"/>
    <w:rPr>
      <w:sz w:val="20"/>
      <w:szCs w:val="20"/>
    </w:rPr>
  </w:style>
  <w:style w:type="paragraph" w:styleId="Kommentarsmne">
    <w:name w:val="annotation subject"/>
    <w:basedOn w:val="Kommentarer"/>
    <w:next w:val="Kommentarer"/>
    <w:link w:val="KommentarsmneChar"/>
    <w:uiPriority w:val="99"/>
    <w:semiHidden/>
    <w:unhideWhenUsed/>
    <w:rsid w:val="008F07EA"/>
    <w:rPr>
      <w:b/>
      <w:bCs/>
    </w:rPr>
  </w:style>
  <w:style w:type="character" w:customStyle="1" w:styleId="KommentarsmneChar">
    <w:name w:val="Kommentarsämne Char"/>
    <w:basedOn w:val="KommentarerChar"/>
    <w:link w:val="Kommentarsmne"/>
    <w:uiPriority w:val="99"/>
    <w:semiHidden/>
    <w:rsid w:val="008F07EA"/>
    <w:rPr>
      <w:b/>
      <w:bCs/>
      <w:sz w:val="20"/>
      <w:szCs w:val="20"/>
    </w:rPr>
  </w:style>
  <w:style w:type="paragraph" w:styleId="Revision">
    <w:name w:val="Revision"/>
    <w:hidden/>
    <w:uiPriority w:val="99"/>
    <w:semiHidden/>
    <w:rsid w:val="008F07EA"/>
    <w:pPr>
      <w:spacing w:after="0" w:line="240" w:lineRule="auto"/>
    </w:pPr>
  </w:style>
  <w:style w:type="character" w:customStyle="1" w:styleId="element-citation">
    <w:name w:val="element-citation"/>
    <w:basedOn w:val="Standardstycketypsnitt"/>
    <w:rsid w:val="00B12F4D"/>
  </w:style>
  <w:style w:type="character" w:customStyle="1" w:styleId="ref-journal">
    <w:name w:val="ref-journal"/>
    <w:basedOn w:val="Standardstycketypsnitt"/>
    <w:rsid w:val="00B1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0127">
      <w:bodyDiv w:val="1"/>
      <w:marLeft w:val="0"/>
      <w:marRight w:val="0"/>
      <w:marTop w:val="0"/>
      <w:marBottom w:val="0"/>
      <w:divBdr>
        <w:top w:val="none" w:sz="0" w:space="0" w:color="auto"/>
        <w:left w:val="none" w:sz="0" w:space="0" w:color="auto"/>
        <w:bottom w:val="none" w:sz="0" w:space="0" w:color="auto"/>
        <w:right w:val="none" w:sz="0" w:space="0" w:color="auto"/>
      </w:divBdr>
    </w:div>
    <w:div w:id="1012688154">
      <w:bodyDiv w:val="1"/>
      <w:marLeft w:val="0"/>
      <w:marRight w:val="0"/>
      <w:marTop w:val="0"/>
      <w:marBottom w:val="0"/>
      <w:divBdr>
        <w:top w:val="none" w:sz="0" w:space="0" w:color="auto"/>
        <w:left w:val="none" w:sz="0" w:space="0" w:color="auto"/>
        <w:bottom w:val="none" w:sz="0" w:space="0" w:color="auto"/>
        <w:right w:val="none" w:sz="0" w:space="0" w:color="auto"/>
      </w:divBdr>
    </w:div>
    <w:div w:id="1594167102">
      <w:bodyDiv w:val="1"/>
      <w:marLeft w:val="0"/>
      <w:marRight w:val="0"/>
      <w:marTop w:val="0"/>
      <w:marBottom w:val="0"/>
      <w:divBdr>
        <w:top w:val="none" w:sz="0" w:space="0" w:color="auto"/>
        <w:left w:val="none" w:sz="0" w:space="0" w:color="auto"/>
        <w:bottom w:val="none" w:sz="0" w:space="0" w:color="auto"/>
        <w:right w:val="none" w:sz="0" w:space="0" w:color="auto"/>
      </w:divBdr>
    </w:div>
    <w:div w:id="19215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eur-lex.europa.eu/LexUriServ/LexUriServ.do?uri=OJ:L:2004:229:0023:0034:EN:PDF" TargetMode="External"/><Relationship Id="rId4" Type="http://schemas.openxmlformats.org/officeDocument/2006/relationships/hyperlink" Target="http://www.cdc.gov/niosh/docs/2004-165/pdfs/2004-165.pdf" TargetMode="External"/><Relationship Id="rId5" Type="http://schemas.openxmlformats.org/officeDocument/2006/relationships/hyperlink" Target="http://www.insht.es/InshtWeb/Contenidos/Documentacion/NTP/NTP/Ficheros/1043a1054/ntp-1051w.pdf" TargetMode="External"/><Relationship Id="rId1" Type="http://schemas.openxmlformats.org/officeDocument/2006/relationships/hyperlink" Target="http://www.europarl.europa.eu/sides/getDoc.do?pubRef=-//EP//TEXT+REPORT+A8-2015-0312+0+DOC+XML+V0//EN" TargetMode="External"/><Relationship Id="rId2" Type="http://schemas.openxmlformats.org/officeDocument/2006/relationships/hyperlink" Target="http://www.europeanbiosafetynetwork.eu/Exposure%20to%20Cytotoxic%20Drugs_Recommendation_DINA4_10-03-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CE68-30BA-3246-AAB3-C8E764C8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5656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dc:creator>
  <cp:lastModifiedBy>Patrik Gustavsson</cp:lastModifiedBy>
  <cp:revision>2</cp:revision>
  <dcterms:created xsi:type="dcterms:W3CDTF">2016-11-10T14:46:00Z</dcterms:created>
  <dcterms:modified xsi:type="dcterms:W3CDTF">2016-11-10T14:46:00Z</dcterms:modified>
</cp:coreProperties>
</file>